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360" w:lineRule="auto"/>
        <w:jc w:val="center"/>
        <w:rPr>
          <w:rFonts w:hint="default" w:eastAsia="宋体"/>
          <w:b/>
          <w:sz w:val="30"/>
          <w:szCs w:val="30"/>
          <w:u w:val="single"/>
          <w:lang w:val="en-US" w:eastAsia="zh-CN"/>
        </w:rPr>
      </w:pPr>
      <w:r>
        <w:rPr>
          <w:rFonts w:hint="eastAsia"/>
          <w:b/>
          <w:sz w:val="30"/>
          <w:szCs w:val="30"/>
          <w:lang w:val="en-US" w:eastAsia="zh-CN"/>
        </w:rPr>
        <w:t xml:space="preserve">                             </w:t>
      </w:r>
      <w:r>
        <w:rPr>
          <w:rFonts w:hint="eastAsia"/>
          <w:b/>
          <w:sz w:val="30"/>
          <w:szCs w:val="30"/>
        </w:rPr>
        <w:t>项目编号：</w:t>
      </w:r>
      <w:r>
        <w:rPr>
          <w:rFonts w:hint="eastAsia"/>
          <w:b/>
          <w:sz w:val="30"/>
          <w:szCs w:val="30"/>
          <w:u w:val="single"/>
        </w:rPr>
        <w:t>TLZB-2021-</w:t>
      </w:r>
      <w:r>
        <w:rPr>
          <w:rFonts w:hint="eastAsia"/>
          <w:b/>
          <w:sz w:val="30"/>
          <w:szCs w:val="30"/>
          <w:u w:val="single"/>
          <w:lang w:val="en-US" w:eastAsia="zh-CN"/>
        </w:rPr>
        <w:t>29</w:t>
      </w:r>
    </w:p>
    <w:p>
      <w:pPr>
        <w:pStyle w:val="2"/>
        <w:jc w:val="both"/>
        <w:rPr>
          <w:rFonts w:hint="eastAsia" w:ascii="宋体" w:hAnsi="宋体" w:eastAsia="宋体" w:cs="宋体"/>
          <w:b/>
          <w:color w:val="auto"/>
          <w:sz w:val="52"/>
          <w:szCs w:val="52"/>
          <w:highlight w:val="none"/>
        </w:rPr>
      </w:pPr>
    </w:p>
    <w:p>
      <w:pPr>
        <w:pStyle w:val="2"/>
        <w:jc w:val="center"/>
        <w:rPr>
          <w:rFonts w:hint="eastAsia" w:ascii="宋体" w:hAnsi="宋体" w:eastAsia="宋体" w:cs="宋体"/>
          <w:b/>
          <w:color w:val="auto"/>
          <w:sz w:val="56"/>
          <w:szCs w:val="56"/>
          <w:highlight w:val="none"/>
          <w:lang w:eastAsia="zh-CN"/>
        </w:rPr>
      </w:pPr>
      <w:r>
        <w:rPr>
          <w:rFonts w:hint="eastAsia" w:ascii="宋体" w:hAnsi="宋体" w:eastAsia="宋体" w:cs="宋体"/>
          <w:b/>
          <w:color w:val="auto"/>
          <w:sz w:val="56"/>
          <w:szCs w:val="56"/>
          <w:highlight w:val="none"/>
          <w:lang w:eastAsia="zh-CN"/>
        </w:rPr>
        <w:t>金牛区2020年四川省现代服务业集聚区现代服务业公共服务</w:t>
      </w:r>
    </w:p>
    <w:p>
      <w:pPr>
        <w:pStyle w:val="2"/>
        <w:jc w:val="center"/>
        <w:rPr>
          <w:rFonts w:hint="eastAsia" w:ascii="宋体" w:hAnsi="宋体" w:eastAsia="宋体" w:cs="宋体"/>
          <w:color w:val="auto"/>
          <w:sz w:val="56"/>
          <w:szCs w:val="56"/>
          <w:lang w:eastAsia="zh-CN"/>
        </w:rPr>
      </w:pPr>
      <w:r>
        <w:rPr>
          <w:rFonts w:hint="eastAsia" w:ascii="宋体" w:hAnsi="宋体" w:eastAsia="宋体" w:cs="宋体"/>
          <w:b/>
          <w:color w:val="auto"/>
          <w:sz w:val="56"/>
          <w:szCs w:val="56"/>
          <w:highlight w:val="none"/>
          <w:lang w:eastAsia="zh-CN"/>
        </w:rPr>
        <w:t>中心项目</w:t>
      </w:r>
    </w:p>
    <w:p>
      <w:pPr>
        <w:pStyle w:val="2"/>
        <w:jc w:val="both"/>
        <w:rPr>
          <w:color w:val="auto"/>
        </w:rPr>
      </w:pPr>
    </w:p>
    <w:p>
      <w:pPr>
        <w:widowControl w:val="0"/>
        <w:adjustRightInd w:val="0"/>
        <w:snapToGrid w:val="0"/>
        <w:spacing w:line="360" w:lineRule="auto"/>
        <w:ind w:firstLine="0" w:firstLineChars="0"/>
        <w:jc w:val="both"/>
        <w:rPr>
          <w:rFonts w:hint="eastAsia" w:asciiTheme="majorEastAsia" w:hAnsiTheme="majorEastAsia" w:eastAsiaTheme="majorEastAsia" w:cstheme="majorEastAsia"/>
          <w:b/>
          <w:sz w:val="84"/>
          <w:szCs w:val="84"/>
        </w:rPr>
      </w:pPr>
    </w:p>
    <w:p>
      <w:pPr>
        <w:widowControl w:val="0"/>
        <w:adjustRightInd w:val="0"/>
        <w:snapToGrid w:val="0"/>
        <w:spacing w:line="360" w:lineRule="auto"/>
        <w:ind w:firstLine="0" w:firstLineChars="0"/>
        <w:jc w:val="center"/>
        <w:rPr>
          <w:rFonts w:asciiTheme="majorEastAsia" w:hAnsiTheme="majorEastAsia" w:eastAsiaTheme="majorEastAsia" w:cstheme="majorEastAsia"/>
          <w:b/>
          <w:sz w:val="84"/>
          <w:szCs w:val="84"/>
        </w:rPr>
      </w:pPr>
      <w:r>
        <w:rPr>
          <w:rFonts w:hint="eastAsia" w:asciiTheme="majorEastAsia" w:hAnsiTheme="majorEastAsia" w:eastAsiaTheme="majorEastAsia" w:cstheme="majorEastAsia"/>
          <w:b/>
          <w:sz w:val="84"/>
          <w:szCs w:val="84"/>
        </w:rPr>
        <w:t>磋</w:t>
      </w:r>
      <w:r>
        <w:rPr>
          <w:rFonts w:hint="eastAsia" w:asciiTheme="majorEastAsia" w:hAnsiTheme="majorEastAsia" w:eastAsiaTheme="majorEastAsia" w:cstheme="majorEastAsia"/>
          <w:b/>
          <w:sz w:val="84"/>
          <w:szCs w:val="84"/>
          <w:lang w:val="en-US" w:eastAsia="zh-CN"/>
        </w:rPr>
        <w:t xml:space="preserve"> </w:t>
      </w:r>
      <w:r>
        <w:rPr>
          <w:rFonts w:hint="eastAsia" w:asciiTheme="majorEastAsia" w:hAnsiTheme="majorEastAsia" w:eastAsiaTheme="majorEastAsia" w:cstheme="majorEastAsia"/>
          <w:b/>
          <w:sz w:val="84"/>
          <w:szCs w:val="84"/>
        </w:rPr>
        <w:t>商</w:t>
      </w:r>
      <w:r>
        <w:rPr>
          <w:rFonts w:hint="eastAsia" w:asciiTheme="majorEastAsia" w:hAnsiTheme="majorEastAsia" w:eastAsiaTheme="majorEastAsia" w:cstheme="majorEastAsia"/>
          <w:b/>
          <w:sz w:val="84"/>
          <w:szCs w:val="84"/>
          <w:lang w:val="en-US" w:eastAsia="zh-CN"/>
        </w:rPr>
        <w:t xml:space="preserve"> </w:t>
      </w:r>
      <w:r>
        <w:rPr>
          <w:rFonts w:hint="eastAsia" w:asciiTheme="majorEastAsia" w:hAnsiTheme="majorEastAsia" w:eastAsiaTheme="majorEastAsia" w:cstheme="majorEastAsia"/>
          <w:b/>
          <w:sz w:val="84"/>
          <w:szCs w:val="84"/>
        </w:rPr>
        <w:t>文</w:t>
      </w:r>
      <w:r>
        <w:rPr>
          <w:rFonts w:hint="eastAsia" w:asciiTheme="majorEastAsia" w:hAnsiTheme="majorEastAsia" w:eastAsiaTheme="majorEastAsia" w:cstheme="majorEastAsia"/>
          <w:b/>
          <w:sz w:val="84"/>
          <w:szCs w:val="84"/>
          <w:lang w:val="en-US" w:eastAsia="zh-CN"/>
        </w:rPr>
        <w:t xml:space="preserve"> </w:t>
      </w:r>
      <w:r>
        <w:rPr>
          <w:rFonts w:hint="eastAsia" w:asciiTheme="majorEastAsia" w:hAnsiTheme="majorEastAsia" w:eastAsiaTheme="majorEastAsia" w:cstheme="majorEastAsia"/>
          <w:b/>
          <w:sz w:val="84"/>
          <w:szCs w:val="84"/>
        </w:rPr>
        <w:t>件</w:t>
      </w:r>
    </w:p>
    <w:p>
      <w:pPr>
        <w:pStyle w:val="2"/>
        <w:autoSpaceDE/>
        <w:autoSpaceDN/>
        <w:snapToGrid w:val="0"/>
        <w:spacing w:line="360" w:lineRule="auto"/>
        <w:jc w:val="both"/>
        <w:rPr>
          <w:rFonts w:asciiTheme="minorEastAsia" w:hAnsiTheme="minorEastAsia" w:eastAsiaTheme="minorEastAsia" w:cstheme="minorEastAsia"/>
          <w:color w:val="auto"/>
        </w:rPr>
      </w:pPr>
    </w:p>
    <w:p>
      <w:pPr>
        <w:pStyle w:val="2"/>
        <w:autoSpaceDE/>
        <w:autoSpaceDN/>
        <w:snapToGrid w:val="0"/>
        <w:spacing w:line="360" w:lineRule="auto"/>
        <w:jc w:val="center"/>
        <w:rPr>
          <w:rFonts w:asciiTheme="minorEastAsia" w:hAnsiTheme="minorEastAsia" w:eastAsiaTheme="minorEastAsia" w:cstheme="minorEastAsia"/>
          <w:color w:val="auto"/>
        </w:rPr>
      </w:pPr>
    </w:p>
    <w:p>
      <w:pPr>
        <w:widowControl w:val="0"/>
        <w:adjustRightInd w:val="0"/>
        <w:snapToGrid w:val="0"/>
        <w:spacing w:line="760" w:lineRule="exact"/>
        <w:ind w:left="0" w:leftChars="0" w:firstLine="0" w:firstLineChars="0"/>
        <w:jc w:val="center"/>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center"/>
        <w:textAlignment w:val="auto"/>
        <w:rPr>
          <w:b/>
          <w:sz w:val="28"/>
          <w:szCs w:val="28"/>
        </w:rPr>
      </w:pPr>
      <w:r>
        <w:rPr>
          <w:rFonts w:hint="eastAsia"/>
          <w:b/>
          <w:sz w:val="28"/>
          <w:szCs w:val="28"/>
        </w:rPr>
        <w:t>采购人：</w:t>
      </w:r>
      <w:r>
        <w:rPr>
          <w:rFonts w:hint="eastAsia"/>
          <w:b/>
          <w:sz w:val="28"/>
          <w:szCs w:val="28"/>
          <w:u w:val="single"/>
          <w:lang w:eastAsia="zh-CN"/>
        </w:rPr>
        <w:t>成都市金牛区商务局</w:t>
      </w:r>
      <w:r>
        <w:rPr>
          <w:rFonts w:hint="eastAsia"/>
          <w:b/>
          <w:sz w:val="28"/>
          <w:szCs w:val="28"/>
        </w:rPr>
        <w:t>（单位盖章）</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center"/>
        <w:textAlignment w:val="auto"/>
        <w:rPr>
          <w:rFonts w:hint="eastAsia"/>
          <w:sz w:val="28"/>
          <w:szCs w:val="28"/>
        </w:rPr>
      </w:pPr>
      <w:r>
        <w:rPr>
          <w:rFonts w:hint="eastAsia"/>
          <w:b/>
          <w:sz w:val="28"/>
          <w:szCs w:val="28"/>
        </w:rPr>
        <w:t>代理机构：</w:t>
      </w:r>
      <w:r>
        <w:rPr>
          <w:rFonts w:hint="eastAsia"/>
          <w:b/>
          <w:sz w:val="28"/>
          <w:szCs w:val="28"/>
          <w:u w:val="single"/>
        </w:rPr>
        <w:t xml:space="preserve"> 四川天力招标有限责任公司 </w:t>
      </w:r>
      <w:r>
        <w:rPr>
          <w:rFonts w:hint="eastAsia"/>
          <w:b/>
          <w:sz w:val="28"/>
          <w:szCs w:val="28"/>
        </w:rPr>
        <w:t>（单位盖章）</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b/>
          <w:sz w:val="28"/>
          <w:szCs w:val="28"/>
        </w:rPr>
      </w:pPr>
      <w:r>
        <w:rPr>
          <w:rFonts w:hint="eastAsia"/>
          <w:b/>
          <w:sz w:val="28"/>
          <w:szCs w:val="28"/>
        </w:rPr>
        <w:t>共同编制</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b/>
          <w:sz w:val="28"/>
          <w:szCs w:val="28"/>
        </w:rPr>
      </w:pPr>
      <w:r>
        <w:rPr>
          <w:rFonts w:hint="eastAsia"/>
          <w:b/>
          <w:sz w:val="28"/>
          <w:szCs w:val="28"/>
        </w:rPr>
        <w:t>中国·四川</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sz w:val="28"/>
          <w:szCs w:val="28"/>
        </w:rPr>
      </w:pPr>
      <w:r>
        <w:rPr>
          <w:rFonts w:hint="eastAsia"/>
          <w:b/>
          <w:sz w:val="28"/>
          <w:szCs w:val="28"/>
        </w:rPr>
        <w:t>二〇二一</w:t>
      </w:r>
      <w:r>
        <w:rPr>
          <w:rFonts w:hint="eastAsia"/>
          <w:b/>
          <w:sz w:val="28"/>
          <w:szCs w:val="28"/>
          <w:lang w:val="zh-CN"/>
        </w:rPr>
        <w:t>年</w:t>
      </w:r>
      <w:r>
        <w:rPr>
          <w:rFonts w:hint="eastAsia"/>
          <w:b/>
          <w:sz w:val="28"/>
          <w:szCs w:val="28"/>
          <w:lang w:val="en-US" w:eastAsia="zh-CN"/>
        </w:rPr>
        <w:t>六</w:t>
      </w:r>
      <w:r>
        <w:rPr>
          <w:rFonts w:hint="eastAsia"/>
          <w:b/>
          <w:sz w:val="28"/>
          <w:szCs w:val="28"/>
          <w:lang w:val="zh-CN"/>
        </w:rPr>
        <w:t>月</w:t>
      </w:r>
      <w:bookmarkStart w:id="0" w:name="_Toc14510"/>
      <w:bookmarkStart w:id="1" w:name="_Toc133308003"/>
      <w:bookmarkStart w:id="2" w:name="_Toc133593308"/>
      <w:bookmarkStart w:id="3" w:name="_Toc31113"/>
      <w:bookmarkStart w:id="4" w:name="_Toc19335"/>
      <w:bookmarkStart w:id="5" w:name="_Toc365968161"/>
    </w:p>
    <w:p>
      <w:pPr>
        <w:ind w:firstLine="0" w:firstLineChars="0"/>
        <w:jc w:val="center"/>
        <w:rPr>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488" w:charSpace="0"/>
        </w:sectPr>
      </w:pPr>
    </w:p>
    <w:sdt>
      <w:sdtPr>
        <w:rPr>
          <w:rFonts w:hint="eastAsia" w:ascii="宋体" w:hAnsi="宋体" w:eastAsia="宋体" w:cs="宋体"/>
          <w:b/>
          <w:bCs/>
          <w:sz w:val="30"/>
          <w:szCs w:val="30"/>
        </w:rPr>
        <w:id w:val="147472328"/>
        <w:docPartObj>
          <w:docPartGallery w:val="Table of Contents"/>
          <w:docPartUnique/>
        </w:docPartObj>
      </w:sdtPr>
      <w:sdtEndPr>
        <w:rPr>
          <w:rFonts w:hint="eastAsia" w:ascii="Times New Roman" w:hAnsi="宋体" w:eastAsia="宋体" w:cs="宋体"/>
          <w:b/>
          <w:bCs/>
          <w:sz w:val="24"/>
          <w:szCs w:val="24"/>
        </w:rPr>
      </w:sdtEndPr>
      <w:sdtContent>
        <w:p>
          <w:pPr>
            <w:ind w:firstLine="0" w:firstLineChars="0"/>
            <w:jc w:val="center"/>
            <w:rPr>
              <w:b/>
              <w:bCs/>
              <w:sz w:val="30"/>
              <w:szCs w:val="30"/>
            </w:rPr>
          </w:pPr>
          <w:r>
            <w:rPr>
              <w:rFonts w:hint="eastAsia" w:ascii="宋体" w:hAnsi="宋体" w:eastAsia="宋体" w:cs="宋体"/>
              <w:b/>
              <w:bCs/>
              <w:sz w:val="30"/>
              <w:szCs w:val="30"/>
            </w:rPr>
            <w:t>目  录</w:t>
          </w:r>
          <w:r>
            <w:rPr>
              <w:rFonts w:hint="eastAsia"/>
              <w:b/>
              <w:bCs/>
              <w:sz w:val="30"/>
              <w:szCs w:val="30"/>
            </w:rPr>
            <w:t xml:space="preserve">   </w:t>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rPr>
          </w:pPr>
          <w:r>
            <w:rPr>
              <w:rFonts w:hint="eastAsia"/>
            </w:rPr>
            <w:fldChar w:fldCharType="begin"/>
          </w:r>
          <w:r>
            <w:rPr>
              <w:rFonts w:hint="eastAsia"/>
            </w:rPr>
            <w:instrText xml:space="preserve">TOC \o "1-1" \h \u </w:instrText>
          </w:r>
          <w:r>
            <w:rPr>
              <w:rFonts w:hint="eastAsia"/>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_Toc29020 </w:instrText>
          </w:r>
          <w:r>
            <w:rPr>
              <w:rFonts w:hint="eastAsia" w:ascii="宋体" w:hAnsi="宋体" w:eastAsia="宋体" w:cs="宋体"/>
            </w:rPr>
            <w:fldChar w:fldCharType="separate"/>
          </w:r>
          <w:r>
            <w:rPr>
              <w:rFonts w:hint="eastAsia" w:ascii="宋体" w:hAnsi="宋体" w:eastAsia="宋体" w:cs="宋体"/>
            </w:rPr>
            <w:t>第1章 磋商邀请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_Toc29020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_Toc6529 </w:instrText>
          </w:r>
          <w:r>
            <w:rPr>
              <w:rFonts w:hint="eastAsia" w:ascii="宋体" w:hAnsi="宋体" w:eastAsia="宋体" w:cs="宋体"/>
            </w:rPr>
            <w:fldChar w:fldCharType="separate"/>
          </w:r>
          <w:r>
            <w:rPr>
              <w:rFonts w:hint="eastAsia" w:ascii="宋体" w:hAnsi="宋体" w:eastAsia="宋体" w:cs="宋体"/>
            </w:rPr>
            <w:t>第2章 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_Toc6529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_Toc8867 </w:instrText>
          </w:r>
          <w:r>
            <w:rPr>
              <w:rFonts w:hint="eastAsia" w:ascii="宋体" w:hAnsi="宋体" w:eastAsia="宋体" w:cs="宋体"/>
            </w:rPr>
            <w:fldChar w:fldCharType="separate"/>
          </w:r>
          <w:r>
            <w:rPr>
              <w:rFonts w:hint="eastAsia" w:ascii="宋体" w:hAnsi="宋体" w:eastAsia="宋体" w:cs="宋体"/>
            </w:rPr>
            <w:t>第3章 项目技术服务、商务及其他要求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_Toc8867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_Toc2361 </w:instrText>
          </w:r>
          <w:r>
            <w:rPr>
              <w:rFonts w:hint="eastAsia" w:ascii="宋体" w:hAnsi="宋体" w:eastAsia="宋体" w:cs="宋体"/>
            </w:rPr>
            <w:fldChar w:fldCharType="separate"/>
          </w:r>
          <w:r>
            <w:rPr>
              <w:rFonts w:hint="eastAsia" w:ascii="宋体" w:hAnsi="宋体" w:eastAsia="宋体" w:cs="宋体"/>
            </w:rPr>
            <w:t>第4章 磋商内容、磋商过程中可实质性变动的内容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_Toc2361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_Toc31608 </w:instrText>
          </w:r>
          <w:r>
            <w:rPr>
              <w:rFonts w:hint="eastAsia" w:ascii="宋体" w:hAnsi="宋体" w:eastAsia="宋体" w:cs="宋体"/>
            </w:rPr>
            <w:fldChar w:fldCharType="separate"/>
          </w:r>
          <w:r>
            <w:rPr>
              <w:rFonts w:hint="eastAsia" w:ascii="宋体" w:hAnsi="宋体" w:eastAsia="宋体" w:cs="宋体"/>
            </w:rPr>
            <w:t>第5章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_Toc31608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_Toc28391 </w:instrText>
          </w:r>
          <w:r>
            <w:rPr>
              <w:rFonts w:hint="eastAsia" w:ascii="宋体" w:hAnsi="宋体" w:eastAsia="宋体" w:cs="宋体"/>
            </w:rPr>
            <w:fldChar w:fldCharType="separate"/>
          </w:r>
          <w:r>
            <w:rPr>
              <w:rFonts w:hint="eastAsia" w:ascii="宋体" w:hAnsi="宋体" w:eastAsia="宋体" w:cs="宋体"/>
              <w:bCs w:val="0"/>
              <w:kern w:val="0"/>
            </w:rPr>
            <w:t>第6章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_Toc28391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tabs>
              <w:tab w:val="right" w:leader="dot" w:pos="8414"/>
            </w:tabs>
            <w:kinsoku/>
            <w:wordWrap/>
            <w:overflowPunct/>
            <w:topLinePunct w:val="0"/>
            <w:autoSpaceDE/>
            <w:autoSpaceDN/>
            <w:bidi w:val="0"/>
            <w:adjustRightInd/>
            <w:snapToGrid/>
            <w:spacing w:line="360" w:lineRule="auto"/>
            <w:ind w:firstLine="0" w:firstLineChars="0"/>
            <w:textAlignment w:val="auto"/>
          </w:pPr>
          <w:r>
            <w:rPr>
              <w:rFonts w:hint="eastAsia" w:ascii="宋体" w:hAnsi="宋体" w:eastAsia="宋体" w:cs="宋体"/>
            </w:rPr>
            <w:fldChar w:fldCharType="begin"/>
          </w:r>
          <w:r>
            <w:rPr>
              <w:rFonts w:hint="eastAsia" w:ascii="宋体" w:hAnsi="宋体" w:eastAsia="宋体" w:cs="宋体"/>
            </w:rPr>
            <w:instrText xml:space="preserve"> HYPERLINK \l _Toc16774 </w:instrText>
          </w:r>
          <w:r>
            <w:rPr>
              <w:rFonts w:hint="eastAsia" w:ascii="宋体" w:hAnsi="宋体" w:eastAsia="宋体" w:cs="宋体"/>
            </w:rPr>
            <w:fldChar w:fldCharType="separate"/>
          </w:r>
          <w:r>
            <w:rPr>
              <w:rFonts w:hint="eastAsia" w:ascii="宋体" w:hAnsi="宋体" w:eastAsia="宋体" w:cs="宋体"/>
            </w:rPr>
            <w:t>第7章 拟签订合同草案条款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_Toc16774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0"/>
            <w:ind w:firstLine="480"/>
          </w:pPr>
          <w:r>
            <w:rPr>
              <w:rFonts w:hint="eastAsia" w:ascii="宋体"/>
            </w:rPr>
            <w:fldChar w:fldCharType="end"/>
          </w:r>
        </w:p>
      </w:sdtContent>
    </w:sdt>
    <w:p>
      <w:pPr>
        <w:ind w:firstLine="480"/>
      </w:pPr>
      <w:r>
        <w:rPr>
          <w:rFonts w:hint="eastAsia"/>
        </w:rPr>
        <w:br w:type="page"/>
      </w:r>
    </w:p>
    <w:p>
      <w:pPr>
        <w:pStyle w:val="3"/>
        <w:keepNext w:val="0"/>
        <w:keepLines w:val="0"/>
        <w:widowControl w:val="0"/>
        <w:numPr>
          <w:ilvl w:val="0"/>
          <w:numId w:val="0"/>
        </w:numPr>
        <w:adjustRightInd w:val="0"/>
        <w:snapToGrid w:val="0"/>
        <w:spacing w:line="360" w:lineRule="auto"/>
        <w:rPr>
          <w:color w:val="auto"/>
        </w:rPr>
      </w:pPr>
      <w:bookmarkStart w:id="6" w:name="_Toc29020"/>
      <w:r>
        <w:rPr>
          <w:rFonts w:hint="eastAsia"/>
          <w:color w:val="auto"/>
        </w:rPr>
        <w:t>第1章 磋商邀请</w:t>
      </w:r>
      <w:bookmarkEnd w:id="0"/>
      <w:bookmarkEnd w:id="6"/>
    </w:p>
    <w:bookmarkEnd w:id="1"/>
    <w:bookmarkEnd w:id="2"/>
    <w:p>
      <w:pPr>
        <w:widowControl w:val="0"/>
        <w:adjustRightInd w:val="0"/>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u w:val="single"/>
        </w:rPr>
        <w:t xml:space="preserve">四川天力招标有限责任公司 </w:t>
      </w:r>
      <w:r>
        <w:rPr>
          <w:rFonts w:hint="eastAsia" w:asciiTheme="minorEastAsia" w:hAnsiTheme="minorEastAsia" w:eastAsiaTheme="minorEastAsia" w:cstheme="minorEastAsia"/>
        </w:rPr>
        <w:t>（代理机构）受</w:t>
      </w:r>
      <w:r>
        <w:rPr>
          <w:rFonts w:hint="eastAsia" w:asciiTheme="minorEastAsia" w:hAnsiTheme="minorEastAsia" w:eastAsiaTheme="minorEastAsia" w:cstheme="minorEastAsia"/>
          <w:b/>
          <w:bCs/>
          <w:u w:val="single"/>
          <w:lang w:eastAsia="zh-CN"/>
        </w:rPr>
        <w:t>成都市金牛区商务局</w:t>
      </w:r>
      <w:r>
        <w:rPr>
          <w:rFonts w:hint="eastAsia" w:asciiTheme="minorEastAsia" w:hAnsiTheme="minorEastAsia" w:eastAsiaTheme="minorEastAsia" w:cstheme="minorEastAsia"/>
        </w:rPr>
        <w:t>（采购人）委托，拟对</w:t>
      </w:r>
      <w:r>
        <w:rPr>
          <w:rFonts w:hint="eastAsia" w:asciiTheme="minorEastAsia" w:hAnsiTheme="minorEastAsia" w:eastAsiaTheme="minorEastAsia" w:cstheme="minorEastAsia"/>
          <w:b/>
          <w:bCs/>
          <w:color w:val="auto"/>
          <w:u w:val="single"/>
          <w:lang w:eastAsia="zh-CN"/>
        </w:rPr>
        <w:t>金牛区2020年四川省现代服务业集聚区现代服务业公共服务中心项目</w:t>
      </w:r>
      <w:r>
        <w:rPr>
          <w:rFonts w:hint="eastAsia" w:asciiTheme="minorEastAsia" w:hAnsiTheme="minorEastAsia" w:eastAsiaTheme="minorEastAsia" w:cstheme="minorEastAsia"/>
          <w:color w:val="auto"/>
          <w:highlight w:val="none"/>
        </w:rPr>
        <w:t>进行磋商，兹邀请符合本次磋商要求的潜在供应商参加磋商。</w:t>
      </w:r>
    </w:p>
    <w:p>
      <w:pPr>
        <w:widowControl w:val="0"/>
        <w:adjustRightInd w:val="0"/>
        <w:snapToGrid w:val="0"/>
        <w:spacing w:line="360" w:lineRule="auto"/>
        <w:ind w:firstLine="482"/>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一、项目编号：</w:t>
      </w:r>
      <w:r>
        <w:rPr>
          <w:rFonts w:hint="eastAsia" w:asciiTheme="minorEastAsia" w:hAnsiTheme="minorEastAsia" w:eastAsiaTheme="minorEastAsia" w:cstheme="minorEastAsia"/>
          <w:b/>
          <w:bCs/>
          <w:color w:val="auto"/>
          <w:highlight w:val="none"/>
          <w:u w:val="single"/>
        </w:rPr>
        <w:t>TLZB-2021-</w:t>
      </w:r>
      <w:r>
        <w:rPr>
          <w:rFonts w:hint="eastAsia" w:asciiTheme="minorEastAsia" w:hAnsiTheme="minorEastAsia" w:eastAsiaTheme="minorEastAsia" w:cstheme="minorEastAsia"/>
          <w:b/>
          <w:bCs/>
          <w:color w:val="auto"/>
          <w:highlight w:val="none"/>
          <w:u w:val="single"/>
          <w:lang w:val="en-US" w:eastAsia="zh-CN"/>
        </w:rPr>
        <w:t>29</w:t>
      </w:r>
    </w:p>
    <w:p>
      <w:pPr>
        <w:widowControl w:val="0"/>
        <w:adjustRightInd w:val="0"/>
        <w:snapToGrid w:val="0"/>
        <w:spacing w:line="360" w:lineRule="auto"/>
        <w:ind w:firstLine="482"/>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二、项目名称：</w:t>
      </w:r>
      <w:r>
        <w:rPr>
          <w:rFonts w:hint="eastAsia" w:asciiTheme="minorEastAsia" w:hAnsiTheme="minorEastAsia" w:eastAsiaTheme="minorEastAsia" w:cstheme="minorEastAsia"/>
          <w:b/>
          <w:bCs/>
          <w:color w:val="auto"/>
          <w:highlight w:val="none"/>
          <w:u w:val="single"/>
          <w:lang w:eastAsia="zh-CN"/>
        </w:rPr>
        <w:t>金牛区2020年四川省现代服务业集聚区现代服务业公共服务中心项目</w:t>
      </w:r>
    </w:p>
    <w:p>
      <w:pPr>
        <w:widowControl w:val="0"/>
        <w:adjustRightInd w:val="0"/>
        <w:snapToGrid w:val="0"/>
        <w:spacing w:line="360" w:lineRule="auto"/>
        <w:ind w:firstLine="482"/>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三、项目简介：</w:t>
      </w:r>
    </w:p>
    <w:p>
      <w:pPr>
        <w:widowControl w:val="0"/>
        <w:adjustRightInd w:val="0"/>
        <w:snapToGrid w:val="0"/>
        <w:spacing w:line="360" w:lineRule="auto"/>
        <w:ind w:firstLine="48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本项目为金牛区2020年四川省现代服务业集聚区现代服务业公共服务中心项目，共1个包件。</w:t>
      </w:r>
      <w:r>
        <w:rPr>
          <w:rFonts w:hint="eastAsia" w:asciiTheme="minorEastAsia" w:hAnsiTheme="minorEastAsia" w:eastAsiaTheme="minorEastAsia" w:cstheme="minorEastAsia"/>
          <w:lang w:eastAsia="zh-CN"/>
        </w:rPr>
        <w:t>预算金额：</w:t>
      </w:r>
      <w:r>
        <w:rPr>
          <w:rFonts w:hint="eastAsia" w:asciiTheme="minorEastAsia" w:hAnsiTheme="minorEastAsia" w:eastAsiaTheme="minorEastAsia" w:cstheme="minorEastAsia"/>
          <w:lang w:val="en-US" w:eastAsia="zh-CN"/>
        </w:rPr>
        <w:t>29</w:t>
      </w:r>
      <w:r>
        <w:rPr>
          <w:rFonts w:hint="eastAsia" w:asciiTheme="minorEastAsia" w:hAnsiTheme="minorEastAsia" w:eastAsiaTheme="minorEastAsia" w:cstheme="minorEastAsia"/>
          <w:lang w:eastAsia="zh-CN"/>
        </w:rPr>
        <w:t>万元，</w:t>
      </w:r>
      <w:r>
        <w:rPr>
          <w:rFonts w:hint="eastAsia" w:asciiTheme="minorEastAsia" w:hAnsiTheme="minorEastAsia" w:eastAsiaTheme="minorEastAsia" w:cstheme="minorEastAsia"/>
          <w:lang w:val="en-US" w:eastAsia="zh-CN"/>
        </w:rPr>
        <w:t>最高限价为人民币29万元。</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详细的技术服务、商务及其他要求见本项目磋商文件第3章。</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四、供应商参加本次磋商应具备下列条件：</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4.具有依法缴纳税收和社会保障资金的良好记录；</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5.参加本次采购活动前三年内，在经营活动中没有重大违法记录；</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p>
      <w:pPr>
        <w:widowControl w:val="0"/>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7.根据采购项目提出的特殊条件：</w:t>
      </w:r>
    </w:p>
    <w:p>
      <w:pPr>
        <w:widowControl w:val="0"/>
        <w:adjustRightInd w:val="0"/>
        <w:snapToGrid w:val="0"/>
        <w:spacing w:line="360" w:lineRule="auto"/>
        <w:ind w:firstLine="48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1）具备建设行政主管部门颁发的建筑装饰工程设计专项资质乙级及以上资质</w:t>
      </w:r>
      <w:r>
        <w:rPr>
          <w:rFonts w:hint="eastAsia" w:asciiTheme="minorEastAsia" w:hAnsiTheme="minorEastAsia" w:eastAsiaTheme="minorEastAsia" w:cstheme="minorEastAsia"/>
        </w:rPr>
        <w:t>；</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w:t>
      </w:r>
      <w:r>
        <w:rPr>
          <w:rFonts w:hint="eastAsia" w:asciiTheme="minorEastAsia" w:hAnsiTheme="minorEastAsia" w:eastAsiaTheme="minorEastAsia" w:cstheme="minorEastAsia"/>
          <w:b/>
          <w:bCs/>
        </w:rPr>
        <w:t>接受</w:t>
      </w:r>
      <w:r>
        <w:rPr>
          <w:rFonts w:hint="eastAsia" w:asciiTheme="minorEastAsia" w:hAnsiTheme="minorEastAsia" w:eastAsiaTheme="minorEastAsia" w:cstheme="minorEastAsia"/>
        </w:rPr>
        <w:t>联合体参加磋商。</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五、磋商文件获取时间、售价、获取方式：</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1、磋商文件获取时间：自</w:t>
      </w:r>
      <w:r>
        <w:rPr>
          <w:rFonts w:hint="eastAsia" w:asciiTheme="minorEastAsia" w:hAnsiTheme="minorEastAsia" w:eastAsiaTheme="minorEastAsia" w:cstheme="minorEastAsia"/>
          <w:b/>
          <w:bCs/>
          <w:u w:val="single"/>
        </w:rPr>
        <w:t>2021年</w:t>
      </w:r>
      <w:r>
        <w:rPr>
          <w:rFonts w:hint="eastAsia" w:asciiTheme="minorEastAsia" w:hAnsiTheme="minorEastAsia" w:eastAsiaTheme="minorEastAsia" w:cstheme="minorEastAsia"/>
          <w:b/>
          <w:bCs/>
          <w:u w:val="single"/>
          <w:lang w:val="en-US" w:eastAsia="zh-CN"/>
        </w:rPr>
        <w:t>6</w:t>
      </w:r>
      <w:r>
        <w:rPr>
          <w:rFonts w:hint="eastAsia" w:asciiTheme="minorEastAsia" w:hAnsiTheme="minorEastAsia" w:eastAsiaTheme="minorEastAsia" w:cstheme="minorEastAsia"/>
          <w:b/>
          <w:bCs/>
          <w:u w:val="single"/>
        </w:rPr>
        <w:t>月</w:t>
      </w:r>
      <w:r>
        <w:rPr>
          <w:rFonts w:hint="eastAsia" w:asciiTheme="minorEastAsia" w:hAnsiTheme="minorEastAsia" w:eastAsiaTheme="minorEastAsia" w:cstheme="minorEastAsia"/>
          <w:b/>
          <w:bCs/>
          <w:u w:val="single"/>
          <w:lang w:val="en-US" w:eastAsia="zh-CN"/>
        </w:rPr>
        <w:t>11</w:t>
      </w:r>
      <w:r>
        <w:rPr>
          <w:rFonts w:hint="eastAsia" w:asciiTheme="minorEastAsia" w:hAnsiTheme="minorEastAsia" w:eastAsiaTheme="minorEastAsia" w:cstheme="minorEastAsia"/>
          <w:b/>
          <w:bCs/>
          <w:u w:val="single"/>
        </w:rPr>
        <w:t>日至2021年</w:t>
      </w:r>
      <w:r>
        <w:rPr>
          <w:rFonts w:hint="eastAsia" w:asciiTheme="minorEastAsia" w:hAnsiTheme="minorEastAsia" w:eastAsiaTheme="minorEastAsia" w:cstheme="minorEastAsia"/>
          <w:b/>
          <w:bCs/>
          <w:u w:val="single"/>
          <w:lang w:val="en-US" w:eastAsia="zh-CN"/>
        </w:rPr>
        <w:t>6</w:t>
      </w:r>
      <w:r>
        <w:rPr>
          <w:rFonts w:hint="eastAsia" w:asciiTheme="minorEastAsia" w:hAnsiTheme="minorEastAsia" w:eastAsiaTheme="minorEastAsia" w:cstheme="minorEastAsia"/>
          <w:b/>
          <w:bCs/>
          <w:u w:val="single"/>
        </w:rPr>
        <w:t>月</w:t>
      </w:r>
      <w:r>
        <w:rPr>
          <w:rFonts w:hint="eastAsia" w:asciiTheme="minorEastAsia" w:hAnsiTheme="minorEastAsia" w:eastAsiaTheme="minorEastAsia" w:cstheme="minorEastAsia"/>
          <w:b/>
          <w:bCs/>
          <w:u w:val="single"/>
          <w:lang w:val="en-US" w:eastAsia="zh-CN"/>
        </w:rPr>
        <w:t>18</w:t>
      </w:r>
      <w:r>
        <w:rPr>
          <w:rFonts w:hint="eastAsia" w:asciiTheme="minorEastAsia" w:hAnsiTheme="minorEastAsia" w:eastAsiaTheme="minorEastAsia" w:cstheme="minorEastAsia"/>
          <w:b/>
          <w:bCs/>
          <w:u w:val="single"/>
        </w:rPr>
        <w:t>日</w:t>
      </w:r>
      <w:r>
        <w:rPr>
          <w:rFonts w:hint="eastAsia" w:asciiTheme="minorEastAsia" w:hAnsiTheme="minorEastAsia" w:eastAsiaTheme="minorEastAsia" w:cstheme="minorEastAsia"/>
        </w:rPr>
        <w:t>(北京时间，法定节假日除外)，每日9：00至16:30(北京时间，下同)。</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2、磋商文件售价：人民币300元/份（磋商文件售后不退，磋商资格不能转让）。</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3、磋商文件获取方式：网络报名。</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疫情防控期间，请有意参与本次采购的供应商通过网络的方式完成报名工作，将以下三项资料的原件扫描件统一发送至1822126561@qq.com邮箱：</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（1）证明文件：单位介绍信（注明项目名称、项目编号、经办事项和有效期等，并加盖单位鲜章）、经办人身份证复印件（盖鲜章）。</w:t>
      </w:r>
    </w:p>
    <w:p>
      <w:pPr>
        <w:widowControl w:val="0"/>
        <w:adjustRightInd w:val="0"/>
        <w:snapToGrid w:val="0"/>
        <w:spacing w:line="360" w:lineRule="auto"/>
        <w:ind w:firstLine="482"/>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（2）报名登记表：供应商应据实完整填写相关内容，表格请联系代理机构进行获取</w:t>
      </w:r>
      <w:r>
        <w:rPr>
          <w:rFonts w:hint="eastAsia" w:asciiTheme="minorEastAsia" w:hAnsiTheme="minorEastAsia" w:eastAsiaTheme="minorEastAsia" w:cstheme="minorEastAsia"/>
          <w:b/>
          <w:bCs/>
          <w:lang w:eastAsia="zh-CN"/>
        </w:rPr>
        <w:t>。</w:t>
      </w:r>
    </w:p>
    <w:p>
      <w:pPr>
        <w:pStyle w:val="21"/>
        <w:autoSpaceDE/>
        <w:autoSpaceDN/>
        <w:snapToGrid w:val="0"/>
        <w:spacing w:line="360" w:lineRule="auto"/>
        <w:ind w:firstLine="482"/>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（3）磋商文件费支付凭证：供应商通过支付宝转账方式，支付宝转账二维码请联系代理机构进行获取。（请备注项目名称和供应商名称，可缩写）</w:t>
      </w:r>
      <w:r>
        <w:rPr>
          <w:rFonts w:hint="eastAsia" w:asciiTheme="minorEastAsia" w:hAnsiTheme="minorEastAsia" w:eastAsiaTheme="minorEastAsia" w:cstheme="minorEastAsia"/>
          <w:b/>
          <w:bCs/>
          <w:sz w:val="24"/>
          <w:szCs w:val="24"/>
          <w:lang w:eastAsia="zh-CN"/>
        </w:rPr>
        <w:t>。</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注：</w:t>
      </w:r>
      <w:r>
        <w:rPr>
          <w:rFonts w:hint="eastAsia" w:asciiTheme="minorEastAsia" w:hAnsiTheme="minorEastAsia" w:eastAsiaTheme="minorEastAsia" w:cstheme="minorEastAsia"/>
          <w:b/>
          <w:color w:val="000000" w:themeColor="text1"/>
          <w14:textFill>
            <w14:solidFill>
              <w14:schemeClr w14:val="tx1"/>
            </w14:solidFill>
          </w14:textFill>
        </w:rPr>
        <w:t>①以上资料缺一不可，否则视为报名无效；②如有意愿参与本项目的潜在供应商，请按磋商文件要求提供相关承诺，严禁提供虚假承诺，如提供虚假承诺将报告监管部门严肃追究其法律责任。</w:t>
      </w:r>
    </w:p>
    <w:p>
      <w:pPr>
        <w:widowControl w:val="0"/>
        <w:adjustRightInd w:val="0"/>
        <w:snapToGrid w:val="0"/>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b/>
          <w:bCs/>
        </w:rPr>
        <w:t>六、递交响应文件截止时间和开标时间：</w:t>
      </w:r>
      <w:r>
        <w:rPr>
          <w:rFonts w:hint="eastAsia" w:asciiTheme="minorEastAsia" w:hAnsiTheme="minorEastAsia" w:eastAsiaTheme="minorEastAsia" w:cstheme="minorEastAsia"/>
          <w:b/>
          <w:bCs/>
          <w:u w:val="single"/>
        </w:rPr>
        <w:t xml:space="preserve">2021 </w:t>
      </w:r>
      <w:r>
        <w:rPr>
          <w:rFonts w:hint="eastAsia" w:asciiTheme="minorEastAsia" w:hAnsiTheme="minorEastAsia" w:eastAsiaTheme="minorEastAsia" w:cstheme="minorEastAsia"/>
          <w:b/>
          <w:bCs/>
        </w:rPr>
        <w:t>年</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lang w:val="en-US" w:eastAsia="zh-CN"/>
        </w:rPr>
        <w:t>6</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lang w:val="en-US" w:eastAsia="zh-CN"/>
        </w:rPr>
        <w:t>21</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日</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lang w:val="en-US" w:eastAsia="zh-CN"/>
        </w:rPr>
        <w:t>13：30</w:t>
      </w:r>
      <w:r>
        <w:rPr>
          <w:rFonts w:hint="eastAsia" w:asciiTheme="minorEastAsia" w:hAnsiTheme="minorEastAsia" w:eastAsiaTheme="minorEastAsia" w:cstheme="minorEastAsia"/>
          <w:b/>
          <w:bCs/>
        </w:rPr>
        <w:t>（北京时间）。</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响应文件必须在递交响应文件截止时间前送达开标地点。逾期送达的响应文件恕不接收。本次磋商不接受邮寄的响应文件。</w:t>
      </w:r>
    </w:p>
    <w:p>
      <w:pPr>
        <w:widowControl w:val="0"/>
        <w:adjustRightInd w:val="0"/>
        <w:snapToGrid w:val="0"/>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b/>
          <w:bCs/>
        </w:rPr>
        <w:t>七、响应文件递交地点、开标地点：</w:t>
      </w:r>
      <w:r>
        <w:rPr>
          <w:rFonts w:hint="eastAsia" w:asciiTheme="minorEastAsia" w:hAnsiTheme="minorEastAsia" w:eastAsiaTheme="minorEastAsia" w:cstheme="minorEastAsia"/>
          <w:b/>
          <w:bCs/>
          <w:u w:val="single"/>
        </w:rPr>
        <w:t>成都市金牛区九里堤南路93号6楼（四川天力招标有限责任公司）</w:t>
      </w:r>
      <w:r>
        <w:rPr>
          <w:rFonts w:hint="eastAsia" w:asciiTheme="minorEastAsia" w:hAnsiTheme="minorEastAsia" w:eastAsiaTheme="minorEastAsia" w:cstheme="minorEastAsia"/>
        </w:rPr>
        <w:t>。</w:t>
      </w:r>
    </w:p>
    <w:p>
      <w:pPr>
        <w:widowControl w:val="0"/>
        <w:adjustRightInd w:val="0"/>
        <w:snapToGrid w:val="0"/>
        <w:spacing w:line="360" w:lineRule="auto"/>
        <w:ind w:firstLine="482"/>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八、本次磋商邀请在</w:t>
      </w:r>
      <w:r>
        <w:rPr>
          <w:rFonts w:hint="eastAsia" w:asciiTheme="minorEastAsia" w:hAnsiTheme="minorEastAsia" w:eastAsiaTheme="minorEastAsia" w:cstheme="minorEastAsia"/>
          <w:b/>
          <w:bCs/>
          <w:u w:val="single"/>
        </w:rPr>
        <w:t>成都市金牛区商务局</w:t>
      </w:r>
      <w:r>
        <w:rPr>
          <w:rFonts w:hint="eastAsia" w:asciiTheme="minorEastAsia" w:hAnsiTheme="minorEastAsia" w:eastAsiaTheme="minorEastAsia" w:cstheme="minorEastAsia"/>
          <w:b/>
          <w:bCs/>
          <w:u w:val="single"/>
          <w:lang w:val="en-US" w:eastAsia="zh-CN"/>
        </w:rPr>
        <w:t>张贴栏</w:t>
      </w:r>
      <w:r>
        <w:rPr>
          <w:rFonts w:hint="eastAsia" w:asciiTheme="minorEastAsia" w:hAnsiTheme="minorEastAsia" w:eastAsiaTheme="minorEastAsia" w:cstheme="minorEastAsia"/>
          <w:b/>
          <w:bCs/>
        </w:rPr>
        <w:t>以</w:t>
      </w:r>
      <w:r>
        <w:rPr>
          <w:rFonts w:hint="eastAsia" w:asciiTheme="minorEastAsia" w:hAnsiTheme="minorEastAsia" w:eastAsiaTheme="minorEastAsia" w:cstheme="minorEastAsia"/>
          <w:b/>
          <w:bCs/>
          <w:lang w:val="en-US" w:eastAsia="zh-CN"/>
        </w:rPr>
        <w:t>张贴</w:t>
      </w:r>
      <w:r>
        <w:rPr>
          <w:rFonts w:hint="eastAsia" w:asciiTheme="minorEastAsia" w:hAnsiTheme="minorEastAsia" w:eastAsiaTheme="minorEastAsia" w:cstheme="minorEastAsia"/>
          <w:b/>
          <w:bCs/>
        </w:rPr>
        <w:t xml:space="preserve">的方式发布。  </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九、联系方式    </w:t>
      </w:r>
    </w:p>
    <w:p>
      <w:pPr>
        <w:widowControl w:val="0"/>
        <w:adjustRightInd w:val="0"/>
        <w:snapToGrid w:val="0"/>
        <w:spacing w:line="360" w:lineRule="auto"/>
        <w:ind w:firstLine="482"/>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采购人：</w:t>
      </w:r>
      <w:r>
        <w:rPr>
          <w:rFonts w:hint="eastAsia" w:asciiTheme="minorEastAsia" w:hAnsiTheme="minorEastAsia" w:eastAsiaTheme="minorEastAsia" w:cstheme="minorEastAsia"/>
          <w:b/>
          <w:bCs/>
          <w:lang w:eastAsia="zh-CN"/>
        </w:rPr>
        <w:t>成都市金牛区商务局</w:t>
      </w:r>
    </w:p>
    <w:p>
      <w:pPr>
        <w:widowControl w:val="0"/>
        <w:adjustRightInd w:val="0"/>
        <w:snapToGrid w:val="0"/>
        <w:spacing w:line="360" w:lineRule="auto"/>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highlight w:val="none"/>
        </w:rPr>
        <w:t>地  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：成都市金牛区金科南二路77号</w:t>
      </w:r>
    </w:p>
    <w:p>
      <w:pPr>
        <w:pStyle w:val="75"/>
        <w:tabs>
          <w:tab w:val="left" w:pos="452"/>
        </w:tabs>
        <w:adjustRightInd w:val="0"/>
        <w:snapToGrid w:val="0"/>
        <w:ind w:firstLine="48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联系人：</w:t>
      </w:r>
      <w:r>
        <w:rPr>
          <w:rFonts w:hint="eastAsia"/>
          <w:color w:val="000000" w:themeColor="text1"/>
          <w:sz w:val="24"/>
          <w:highlight w:val="none"/>
          <w:lang w:val="en-US" w:eastAsia="zh-CN"/>
          <w14:textFill>
            <w14:solidFill>
              <w14:schemeClr w14:val="tx1"/>
            </w14:solidFill>
          </w14:textFill>
        </w:rPr>
        <w:t>彭老师</w:t>
      </w:r>
    </w:p>
    <w:p>
      <w:pPr>
        <w:widowControl w:val="0"/>
        <w:adjustRightInd w:val="0"/>
        <w:snapToGrid w:val="0"/>
        <w:spacing w:line="360" w:lineRule="auto"/>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联系电话：</w:t>
      </w:r>
      <w:r>
        <w:rPr>
          <w:rFonts w:hint="eastAsia"/>
          <w:color w:val="000000" w:themeColor="text1"/>
          <w:highlight w:val="none"/>
          <w:lang w:val="en-US" w:eastAsia="zh-CN"/>
          <w14:textFill>
            <w14:solidFill>
              <w14:schemeClr w14:val="tx1"/>
            </w14:solidFill>
          </w14:textFill>
        </w:rPr>
        <w:t xml:space="preserve">028-87705208 </w:t>
      </w:r>
    </w:p>
    <w:p>
      <w:pPr>
        <w:widowControl w:val="0"/>
        <w:adjustRightInd w:val="0"/>
        <w:snapToGrid w:val="0"/>
        <w:spacing w:line="360" w:lineRule="auto"/>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代理机构：四川天力招标有限责任公司 </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地址：成都市金牛区九里堤南路93号6楼 </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lang w:val="en-US" w:eastAsia="zh-CN"/>
        </w:rPr>
        <w:t>漆</w:t>
      </w:r>
      <w:r>
        <w:rPr>
          <w:rFonts w:hint="eastAsia" w:asciiTheme="minorEastAsia" w:hAnsiTheme="minorEastAsia" w:eastAsiaTheme="minorEastAsia" w:cstheme="minorEastAsia"/>
        </w:rPr>
        <w:t>女士</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联系电话：028-</w:t>
      </w:r>
      <w:bookmarkStart w:id="7" w:name="_Hlk16161431"/>
      <w:r>
        <w:rPr>
          <w:rFonts w:hint="eastAsia" w:asciiTheme="minorEastAsia" w:hAnsiTheme="minorEastAsia" w:eastAsiaTheme="minorEastAsia" w:cstheme="minorEastAsia"/>
        </w:rPr>
        <w:t>87701706</w:t>
      </w:r>
      <w:bookmarkEnd w:id="7"/>
    </w:p>
    <w:bookmarkEnd w:id="3"/>
    <w:bookmarkEnd w:id="4"/>
    <w:bookmarkEnd w:id="5"/>
    <w:p>
      <w:pPr>
        <w:widowControl w:val="0"/>
        <w:shd w:val="clear" w:color="auto" w:fill="FFFFFF"/>
        <w:adjustRightInd w:val="0"/>
        <w:snapToGrid w:val="0"/>
        <w:spacing w:line="360" w:lineRule="auto"/>
        <w:ind w:firstLine="0" w:firstLineChars="0"/>
        <w:jc w:val="center"/>
        <w:outlineLvl w:val="0"/>
        <w:rPr>
          <w:rFonts w:asciiTheme="minorEastAsia" w:hAnsiTheme="minorEastAsia" w:eastAsiaTheme="minorEastAsia" w:cstheme="minorEastAsia"/>
          <w:b/>
          <w:bCs/>
          <w:sz w:val="32"/>
          <w:szCs w:val="32"/>
        </w:rPr>
      </w:pPr>
      <w:bookmarkStart w:id="8" w:name="_Toc287623637"/>
      <w:bookmarkStart w:id="9" w:name="_Toc365968162"/>
      <w:r>
        <w:rPr>
          <w:rFonts w:hint="eastAsia" w:asciiTheme="minorEastAsia" w:hAnsiTheme="minorEastAsia" w:eastAsiaTheme="minorEastAsia" w:cstheme="minorEastAsia"/>
          <w:b/>
          <w:bCs/>
        </w:rPr>
        <w:br w:type="page"/>
      </w:r>
      <w:bookmarkEnd w:id="8"/>
      <w:bookmarkEnd w:id="9"/>
      <w:bookmarkStart w:id="10" w:name="_Toc2928"/>
      <w:bookmarkStart w:id="11" w:name="_Toc6529"/>
      <w:r>
        <w:rPr>
          <w:rStyle w:val="56"/>
          <w:rFonts w:hint="eastAsia"/>
          <w:color w:val="auto"/>
        </w:rPr>
        <w:t>第2章 磋商须知</w:t>
      </w:r>
      <w:bookmarkEnd w:id="10"/>
      <w:bookmarkEnd w:id="11"/>
    </w:p>
    <w:p>
      <w:pPr>
        <w:pStyle w:val="4"/>
        <w:keepNext w:val="0"/>
        <w:keepLines w:val="0"/>
        <w:adjustRightInd w:val="0"/>
        <w:snapToGrid w:val="0"/>
        <w:spacing w:line="360" w:lineRule="auto"/>
        <w:jc w:val="center"/>
      </w:pPr>
      <w:bookmarkStart w:id="12" w:name="_Toc16618"/>
      <w:bookmarkStart w:id="13" w:name="_Toc17946"/>
      <w:r>
        <w:rPr>
          <w:rFonts w:hint="eastAsia"/>
        </w:rPr>
        <w:t>一、供应商须知附表</w:t>
      </w:r>
      <w:bookmarkEnd w:id="12"/>
      <w:bookmarkEnd w:id="13"/>
    </w:p>
    <w:tbl>
      <w:tblPr>
        <w:tblStyle w:val="43"/>
        <w:tblW w:w="8784"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63"/>
        <w:gridCol w:w="1430"/>
        <w:gridCol w:w="659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序号 </w:t>
            </w:r>
          </w:p>
        </w:tc>
        <w:tc>
          <w:tcPr>
            <w:tcW w:w="1430"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应知事项 </w:t>
            </w:r>
          </w:p>
        </w:tc>
        <w:tc>
          <w:tcPr>
            <w:tcW w:w="6591"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1</w:t>
            </w:r>
          </w:p>
        </w:tc>
        <w:tc>
          <w:tcPr>
            <w:tcW w:w="1430"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联合体</w:t>
            </w:r>
          </w:p>
        </w:tc>
        <w:tc>
          <w:tcPr>
            <w:tcW w:w="6591" w:type="dxa"/>
            <w:vAlign w:val="center"/>
          </w:tcPr>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本项目</w:t>
            </w:r>
            <w:r>
              <w:rPr>
                <w:rFonts w:hint="eastAsia" w:asciiTheme="minorEastAsia" w:hAnsiTheme="minorEastAsia" w:eastAsiaTheme="minorEastAsia" w:cstheme="minorEastAsia"/>
                <w:b/>
                <w:bCs/>
                <w:sz w:val="21"/>
                <w:szCs w:val="21"/>
                <w:lang w:val="zh-CN"/>
              </w:rPr>
              <w:t>接受</w:t>
            </w:r>
            <w:r>
              <w:rPr>
                <w:rFonts w:hint="eastAsia" w:asciiTheme="minorEastAsia" w:hAnsiTheme="minorEastAsia" w:eastAsiaTheme="minorEastAsia" w:cstheme="minorEastAsia"/>
                <w:sz w:val="21"/>
                <w:szCs w:val="21"/>
                <w:lang w:val="zh-CN"/>
              </w:rPr>
              <w:t>联合体</w:t>
            </w:r>
            <w:r>
              <w:rPr>
                <w:rFonts w:hint="eastAsia" w:asciiTheme="minorEastAsia" w:hAnsiTheme="minorEastAsia" w:eastAsiaTheme="minorEastAsia" w:cstheme="minorEastAsia"/>
                <w:sz w:val="21"/>
                <w:szCs w:val="21"/>
              </w:rPr>
              <w:t>参与磋商</w:t>
            </w:r>
            <w:r>
              <w:rPr>
                <w:rFonts w:hint="eastAsia" w:asciiTheme="minorEastAsia" w:hAnsiTheme="minorEastAsia" w:eastAsiaTheme="minorEastAsia" w:cstheme="minorEastAsia"/>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w:t>
            </w:r>
          </w:p>
        </w:tc>
        <w:tc>
          <w:tcPr>
            <w:tcW w:w="1430"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低于成本价</w:t>
            </w:r>
          </w:p>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不正当竞争预防措施</w:t>
            </w:r>
          </w:p>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（实质性要求）</w:t>
            </w:r>
          </w:p>
        </w:tc>
        <w:tc>
          <w:tcPr>
            <w:tcW w:w="6591" w:type="dxa"/>
            <w:vAlign w:val="center"/>
          </w:tcPr>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评审过程中，供应商的报价明显低于其他通过实质性审查供应商的报价，有可能影响服务质量或者不能诚信履约的，磋商小组应当要求其在磋商现场90分钟内提供书面说明，并提交相关证明材料，供应商不能证明其报价合理性的，磋商小组应当将其作为无效处理。</w:t>
            </w:r>
          </w:p>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2.供应商书面说明应当签字确认或者加盖公章，否则无效。书面说明的签字确认，供应商为法人的，由其法定代表人或者代理人签字确认；供应商为其他组织的，由其主要负责人或者代理人签字确认。</w:t>
            </w:r>
          </w:p>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30" w:type="dxa"/>
            <w:vAlign w:val="center"/>
          </w:tcPr>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磋商保证金</w:t>
            </w:r>
          </w:p>
        </w:tc>
        <w:tc>
          <w:tcPr>
            <w:tcW w:w="6591" w:type="dxa"/>
            <w:vAlign w:val="center"/>
          </w:tcPr>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本项目无磋商保证金。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30" w:type="dxa"/>
            <w:vAlign w:val="center"/>
          </w:tcPr>
          <w:p>
            <w:pPr>
              <w:pStyle w:val="92"/>
              <w:wordWrap w:val="0"/>
              <w:autoSpaceDE/>
              <w:autoSpaceDN/>
              <w:snapToGrid w:val="0"/>
              <w:spacing w:line="360" w:lineRule="auto"/>
              <w:ind w:firstLine="210" w:firstLineChars="100"/>
              <w:jc w:val="both"/>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履约保证金</w:t>
            </w:r>
          </w:p>
        </w:tc>
        <w:tc>
          <w:tcPr>
            <w:tcW w:w="6591" w:type="dxa"/>
            <w:vAlign w:val="center"/>
          </w:tcPr>
          <w:p>
            <w:pPr>
              <w:pStyle w:val="92"/>
              <w:wordWrap w:val="0"/>
              <w:autoSpaceDE/>
              <w:autoSpaceDN/>
              <w:snapToGrid w:val="0"/>
              <w:spacing w:line="360" w:lineRule="auto"/>
              <w:ind w:firstLine="210" w:firstLineChars="100"/>
              <w:jc w:val="both"/>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本项目无履约保证金。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5</w:t>
            </w:r>
          </w:p>
        </w:tc>
        <w:tc>
          <w:tcPr>
            <w:tcW w:w="1430"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成交通知书</w:t>
            </w:r>
          </w:p>
          <w:p>
            <w:pPr>
              <w:pStyle w:val="92"/>
              <w:wordWrap w:val="0"/>
              <w:autoSpaceDE/>
              <w:autoSpaceDN/>
              <w:snapToGrid w:val="0"/>
              <w:spacing w:line="360" w:lineRule="auto"/>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领取</w:t>
            </w:r>
          </w:p>
        </w:tc>
        <w:tc>
          <w:tcPr>
            <w:tcW w:w="6591" w:type="dxa"/>
            <w:vAlign w:val="center"/>
          </w:tcPr>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成交</w:t>
            </w:r>
            <w:r>
              <w:rPr>
                <w:rFonts w:hint="eastAsia" w:asciiTheme="minorEastAsia" w:hAnsiTheme="minorEastAsia" w:eastAsiaTheme="minorEastAsia" w:cstheme="minorEastAsia"/>
                <w:sz w:val="21"/>
                <w:szCs w:val="21"/>
                <w:lang w:val="zh-CN"/>
              </w:rPr>
              <w:t>公告在成都市金牛区商务局张贴栏上</w:t>
            </w:r>
            <w:r>
              <w:rPr>
                <w:rFonts w:hint="eastAsia" w:asciiTheme="minorEastAsia" w:hAnsiTheme="minorEastAsia" w:eastAsiaTheme="minorEastAsia" w:cstheme="minorEastAsia"/>
                <w:sz w:val="21"/>
                <w:szCs w:val="21"/>
                <w:lang w:val="en-US" w:eastAsia="zh-CN"/>
              </w:rPr>
              <w:t>张贴</w:t>
            </w:r>
            <w:r>
              <w:rPr>
                <w:rFonts w:hint="eastAsia" w:asciiTheme="minorEastAsia" w:hAnsiTheme="minorEastAsia" w:eastAsiaTheme="minorEastAsia" w:cstheme="minorEastAsia"/>
                <w:sz w:val="21"/>
                <w:szCs w:val="21"/>
                <w:lang w:val="zh-CN"/>
              </w:rPr>
              <w:t>后，请成交供应商凭公司介绍信（注明项目名称、项目编号以及经办事项等，加盖公章）、经办人身份证（复印件并加盖公章）到四川天力招标有限责任公司领取成交通知书。</w:t>
            </w:r>
          </w:p>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联系人：</w:t>
            </w:r>
            <w:r>
              <w:rPr>
                <w:rFonts w:hint="eastAsia" w:asciiTheme="minorEastAsia" w:hAnsiTheme="minorEastAsia" w:eastAsiaTheme="minorEastAsia" w:cstheme="minorEastAsia"/>
                <w:sz w:val="21"/>
                <w:szCs w:val="21"/>
                <w:lang w:val="en-US" w:eastAsia="zh-CN"/>
              </w:rPr>
              <w:t>漆</w:t>
            </w:r>
            <w:r>
              <w:rPr>
                <w:rFonts w:hint="eastAsia" w:asciiTheme="minorEastAsia" w:hAnsiTheme="minorEastAsia" w:eastAsiaTheme="minorEastAsia" w:cstheme="minorEastAsia"/>
                <w:sz w:val="21"/>
                <w:szCs w:val="21"/>
                <w:lang w:val="zh-CN"/>
              </w:rPr>
              <w:t>女士</w:t>
            </w:r>
          </w:p>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联系电话：028-87701706/18328703880  </w:t>
            </w:r>
          </w:p>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地址：成都市金牛区九里堤南路93号6楼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430" w:type="dxa"/>
            <w:vAlign w:val="center"/>
          </w:tcPr>
          <w:p>
            <w:pPr>
              <w:pStyle w:val="92"/>
              <w:wordWrap w:val="0"/>
              <w:autoSpaceDE/>
              <w:autoSpaceDN/>
              <w:snapToGrid w:val="0"/>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代理服务费</w:t>
            </w:r>
          </w:p>
        </w:tc>
        <w:tc>
          <w:tcPr>
            <w:tcW w:w="6591" w:type="dxa"/>
            <w:vAlign w:val="center"/>
          </w:tcPr>
          <w:p>
            <w:pPr>
              <w:pStyle w:val="92"/>
              <w:wordWrap w:val="0"/>
              <w:autoSpaceDE/>
              <w:autoSpaceDN/>
              <w:snapToGrid w:val="0"/>
              <w:spacing w:line="360" w:lineRule="auto"/>
              <w:ind w:firstLine="210" w:firstLineChars="100"/>
              <w:jc w:val="both"/>
              <w:rPr>
                <w:rFonts w:asciiTheme="minorEastAsia" w:hAnsiTheme="minorEastAsia" w:eastAsiaTheme="minorEastAsia" w:cstheme="minorEastAsia"/>
                <w:sz w:val="21"/>
                <w:szCs w:val="21"/>
                <w:lang w:val="zh-CN"/>
              </w:rPr>
            </w:pPr>
            <w:r>
              <w:rPr>
                <w:rFonts w:hint="eastAsia"/>
                <w:color w:val="auto"/>
                <w:sz w:val="21"/>
                <w:szCs w:val="21"/>
                <w:lang w:val="zh-CN"/>
              </w:rPr>
              <w:t>本项目采购代理机构代理费用由</w:t>
            </w:r>
            <w:r>
              <w:rPr>
                <w:rFonts w:hint="eastAsia"/>
                <w:color w:val="auto"/>
                <w:sz w:val="21"/>
                <w:szCs w:val="21"/>
                <w:highlight w:val="none"/>
                <w:lang w:val="zh-CN"/>
              </w:rPr>
              <w:t>成交供应商</w:t>
            </w:r>
            <w:r>
              <w:rPr>
                <w:rFonts w:hint="eastAsia"/>
                <w:color w:val="auto"/>
                <w:sz w:val="21"/>
                <w:szCs w:val="21"/>
                <w:lang w:val="zh-CN"/>
              </w:rPr>
              <w:t>支付，通过银行转账方式向采购代理机构缴纳。收取标准：参照国家计委关于印发《招标代理服务收费管理暂行办法》的通知（计价格［2002］1980号）规定收费标准，</w:t>
            </w:r>
            <w:r>
              <w:rPr>
                <w:rFonts w:hint="eastAsia"/>
                <w:color w:val="auto"/>
                <w:sz w:val="21"/>
                <w:szCs w:val="21"/>
              </w:rPr>
              <w:t>按包干价</w:t>
            </w:r>
            <w:r>
              <w:rPr>
                <w:rFonts w:hint="eastAsia"/>
                <w:color w:val="auto"/>
                <w:sz w:val="21"/>
                <w:szCs w:val="21"/>
                <w:highlight w:val="none"/>
                <w:lang w:val="en-US" w:eastAsia="zh-CN"/>
              </w:rPr>
              <w:t>4</w:t>
            </w:r>
            <w:r>
              <w:rPr>
                <w:rFonts w:hint="eastAsia"/>
                <w:color w:val="auto"/>
                <w:sz w:val="21"/>
                <w:szCs w:val="21"/>
                <w:highlight w:val="none"/>
              </w:rPr>
              <w:t>000</w:t>
            </w:r>
            <w:r>
              <w:rPr>
                <w:rFonts w:hint="eastAsia"/>
                <w:color w:val="auto"/>
                <w:sz w:val="21"/>
                <w:szCs w:val="21"/>
                <w:highlight w:val="none"/>
                <w:lang w:val="en-US" w:eastAsia="zh-CN"/>
              </w:rPr>
              <w:t>元（大写：人民币肆仟元整）</w:t>
            </w:r>
            <w:r>
              <w:rPr>
                <w:rFonts w:hint="eastAsia"/>
                <w:color w:val="auto"/>
                <w:sz w:val="21"/>
                <w:szCs w:val="21"/>
              </w:rPr>
              <w:t>收取</w:t>
            </w:r>
            <w:r>
              <w:rPr>
                <w:rFonts w:hint="eastAsia"/>
                <w:color w:val="auto"/>
                <w:sz w:val="21"/>
                <w:szCs w:val="21"/>
                <w:lang w:val="zh-CN"/>
              </w:rPr>
              <w:t>。</w:t>
            </w:r>
          </w:p>
        </w:tc>
      </w:tr>
    </w:tbl>
    <w:p>
      <w:pPr>
        <w:pStyle w:val="4"/>
        <w:jc w:val="center"/>
        <w:sectPr>
          <w:headerReference r:id="rId11" w:type="default"/>
          <w:footerReference r:id="rId12" w:type="default"/>
          <w:pgSz w:w="11906" w:h="16838"/>
          <w:pgMar w:top="1020" w:right="1746" w:bottom="1020" w:left="1746" w:header="851" w:footer="992" w:gutter="0"/>
          <w:pgBorders>
            <w:top w:val="none" w:sz="0" w:space="0"/>
            <w:left w:val="none" w:sz="0" w:space="0"/>
            <w:bottom w:val="none" w:sz="0" w:space="0"/>
            <w:right w:val="none" w:sz="0" w:space="0"/>
          </w:pgBorders>
          <w:pgNumType w:fmt="decimal" w:start="1"/>
          <w:cols w:space="720" w:num="1"/>
          <w:docGrid w:type="lines" w:linePitch="488" w:charSpace="0"/>
        </w:sectPr>
      </w:pPr>
      <w:bookmarkStart w:id="14" w:name="_Toc28961"/>
      <w:bookmarkStart w:id="15" w:name="_Toc21051"/>
    </w:p>
    <w:p>
      <w:pPr>
        <w:pStyle w:val="4"/>
        <w:jc w:val="center"/>
      </w:pPr>
      <w:r>
        <w:rPr>
          <w:rFonts w:hint="eastAsia"/>
        </w:rPr>
        <w:t>二、总  则</w:t>
      </w:r>
      <w:bookmarkEnd w:id="14"/>
      <w:bookmarkEnd w:id="15"/>
    </w:p>
    <w:p>
      <w:pPr>
        <w:pStyle w:val="4"/>
        <w:keepNext w:val="0"/>
        <w:keepLines w:val="0"/>
        <w:adjustRightInd w:val="0"/>
        <w:snapToGrid w:val="0"/>
        <w:spacing w:line="360" w:lineRule="auto"/>
      </w:pPr>
      <w:bookmarkStart w:id="16" w:name="_Toc3532"/>
      <w:bookmarkStart w:id="17" w:name="_Toc19213"/>
      <w:bookmarkStart w:id="18" w:name="_Toc17500"/>
      <w:bookmarkStart w:id="19" w:name="_Toc287623638"/>
      <w:bookmarkStart w:id="20" w:name="_Toc14409"/>
      <w:bookmarkStart w:id="21" w:name="_Toc365968163"/>
      <w:bookmarkStart w:id="22" w:name="_Toc9999"/>
      <w:bookmarkStart w:id="23" w:name="_Toc19399"/>
      <w:r>
        <w:rPr>
          <w:rFonts w:hint="eastAsia"/>
        </w:rPr>
        <w:t>2.1适用范围</w:t>
      </w:r>
      <w:bookmarkEnd w:id="16"/>
      <w:bookmarkEnd w:id="17"/>
      <w:bookmarkEnd w:id="18"/>
      <w:bookmarkEnd w:id="19"/>
      <w:bookmarkEnd w:id="20"/>
      <w:bookmarkEnd w:id="21"/>
      <w:bookmarkEnd w:id="22"/>
      <w:bookmarkEnd w:id="23"/>
    </w:p>
    <w:p>
      <w:pPr>
        <w:widowControl w:val="0"/>
        <w:adjustRightInd w:val="0"/>
        <w:snapToGrid w:val="0"/>
        <w:spacing w:line="360" w:lineRule="auto"/>
        <w:ind w:firstLine="480"/>
      </w:pPr>
      <w:r>
        <w:rPr>
          <w:rFonts w:hint="eastAsia"/>
        </w:rPr>
        <w:t>1、本磋商文件仅适用于</w:t>
      </w:r>
      <w:r>
        <w:rPr>
          <w:rFonts w:hint="eastAsia"/>
          <w:b/>
          <w:bCs/>
        </w:rPr>
        <w:t>本次磋商所叙述的项目</w:t>
      </w:r>
      <w:r>
        <w:rPr>
          <w:rFonts w:hint="eastAsia"/>
        </w:rPr>
        <w:t>。</w:t>
      </w:r>
    </w:p>
    <w:p>
      <w:pPr>
        <w:widowControl w:val="0"/>
        <w:adjustRightInd w:val="0"/>
        <w:snapToGrid w:val="0"/>
        <w:spacing w:line="360" w:lineRule="auto"/>
        <w:ind w:firstLine="480"/>
      </w:pPr>
      <w:r>
        <w:rPr>
          <w:rFonts w:hint="eastAsia"/>
        </w:rPr>
        <w:t>2、本磋商文件的解释权归采购人和代理机构所有。</w:t>
      </w:r>
    </w:p>
    <w:p>
      <w:pPr>
        <w:pStyle w:val="4"/>
        <w:keepNext w:val="0"/>
        <w:keepLines w:val="0"/>
        <w:adjustRightInd w:val="0"/>
        <w:snapToGrid w:val="0"/>
        <w:spacing w:line="360" w:lineRule="auto"/>
      </w:pPr>
      <w:bookmarkStart w:id="24" w:name="_Toc20948"/>
      <w:bookmarkStart w:id="25" w:name="_Toc22695"/>
      <w:bookmarkStart w:id="26" w:name="_Toc17017"/>
      <w:bookmarkStart w:id="27" w:name="_Toc954"/>
      <w:bookmarkStart w:id="28" w:name="_Toc3354"/>
      <w:bookmarkStart w:id="29" w:name="_Toc365968165"/>
      <w:bookmarkStart w:id="30" w:name="_Toc13661"/>
      <w:bookmarkStart w:id="31" w:name="_Toc8790"/>
      <w:bookmarkStart w:id="32" w:name="_Toc7341"/>
      <w:bookmarkStart w:id="33" w:name="_Toc24130"/>
      <w:bookmarkStart w:id="34" w:name="_Toc12307"/>
      <w:r>
        <w:rPr>
          <w:rFonts w:hint="eastAsia"/>
        </w:rPr>
        <w:t>2.2</w:t>
      </w:r>
      <w:bookmarkEnd w:id="24"/>
      <w:bookmarkEnd w:id="25"/>
      <w:bookmarkEnd w:id="26"/>
      <w:bookmarkEnd w:id="27"/>
      <w:r>
        <w:rPr>
          <w:rFonts w:hint="eastAsia"/>
        </w:rPr>
        <w:t>采购主体</w:t>
      </w:r>
      <w:bookmarkEnd w:id="28"/>
    </w:p>
    <w:p>
      <w:pPr>
        <w:widowControl w:val="0"/>
        <w:adjustRightInd w:val="0"/>
        <w:snapToGrid w:val="0"/>
        <w:spacing w:line="360" w:lineRule="auto"/>
        <w:ind w:firstLine="480"/>
      </w:pPr>
      <w:r>
        <w:rPr>
          <w:rFonts w:hint="eastAsia"/>
        </w:rPr>
        <w:t>1、本次磋商的采购人是</w:t>
      </w:r>
      <w:r>
        <w:rPr>
          <w:rFonts w:hint="eastAsia"/>
          <w:u w:val="single"/>
        </w:rPr>
        <w:t xml:space="preserve"> </w:t>
      </w:r>
      <w:r>
        <w:rPr>
          <w:rFonts w:hint="eastAsia"/>
          <w:u w:val="single"/>
          <w:lang w:eastAsia="zh-CN"/>
        </w:rPr>
        <w:t>成都市金牛区商务局</w:t>
      </w:r>
      <w:r>
        <w:rPr>
          <w:rFonts w:hint="eastAsia"/>
          <w:u w:val="single"/>
          <w:lang w:val="en-US" w:eastAsia="zh-CN"/>
        </w:rPr>
        <w:t xml:space="preserve"> </w:t>
      </w:r>
      <w:r>
        <w:rPr>
          <w:rFonts w:hint="eastAsia"/>
        </w:rPr>
        <w:t>。</w:t>
      </w:r>
    </w:p>
    <w:p>
      <w:pPr>
        <w:widowControl w:val="0"/>
        <w:adjustRightInd w:val="0"/>
        <w:snapToGrid w:val="0"/>
        <w:spacing w:line="360" w:lineRule="auto"/>
        <w:ind w:firstLine="480"/>
      </w:pPr>
      <w:r>
        <w:rPr>
          <w:rFonts w:hint="eastAsia"/>
        </w:rPr>
        <w:t>2、本次磋商的代理机构是</w:t>
      </w:r>
      <w:r>
        <w:rPr>
          <w:rFonts w:hint="eastAsia"/>
          <w:u w:val="single"/>
        </w:rPr>
        <w:t xml:space="preserve"> 四川天力招标有限责任公司 </w:t>
      </w:r>
      <w:r>
        <w:rPr>
          <w:rFonts w:hint="eastAsia"/>
        </w:rPr>
        <w:t>。</w:t>
      </w:r>
    </w:p>
    <w:p>
      <w:pPr>
        <w:pStyle w:val="4"/>
        <w:keepNext w:val="0"/>
        <w:keepLines w:val="0"/>
        <w:adjustRightInd w:val="0"/>
        <w:snapToGrid w:val="0"/>
        <w:spacing w:line="360" w:lineRule="auto"/>
      </w:pPr>
      <w:bookmarkStart w:id="35" w:name="_Toc32137"/>
      <w:r>
        <w:rPr>
          <w:rFonts w:hint="eastAsia"/>
        </w:rPr>
        <w:t>2.3</w:t>
      </w:r>
      <w:bookmarkEnd w:id="29"/>
      <w:bookmarkEnd w:id="30"/>
      <w:bookmarkEnd w:id="31"/>
      <w:bookmarkEnd w:id="32"/>
      <w:bookmarkEnd w:id="33"/>
      <w:bookmarkStart w:id="36" w:name="_Toc365968166"/>
      <w:bookmarkStart w:id="37" w:name="_Toc320698717"/>
      <w:bookmarkStart w:id="38" w:name="_Toc4870"/>
      <w:bookmarkStart w:id="39" w:name="_Toc27253"/>
      <w:r>
        <w:rPr>
          <w:rFonts w:hint="eastAsia"/>
        </w:rPr>
        <w:t>合格的供应商</w:t>
      </w:r>
      <w:bookmarkEnd w:id="34"/>
      <w:bookmarkEnd w:id="35"/>
    </w:p>
    <w:p>
      <w:pPr>
        <w:widowControl w:val="0"/>
        <w:adjustRightInd w:val="0"/>
        <w:snapToGrid w:val="0"/>
        <w:spacing w:line="360" w:lineRule="auto"/>
        <w:ind w:firstLine="480"/>
      </w:pPr>
      <w:r>
        <w:rPr>
          <w:rFonts w:hint="eastAsia"/>
        </w:rPr>
        <w:t>合格的供应商应具备以下条件：</w:t>
      </w:r>
    </w:p>
    <w:p>
      <w:pPr>
        <w:widowControl w:val="0"/>
        <w:adjustRightInd w:val="0"/>
        <w:snapToGrid w:val="0"/>
        <w:spacing w:line="360" w:lineRule="auto"/>
        <w:ind w:firstLine="480"/>
      </w:pPr>
      <w:r>
        <w:rPr>
          <w:rFonts w:hint="eastAsia"/>
        </w:rPr>
        <w:t>一、本磋商文件“磋商邀请”第四条规定的条件；</w:t>
      </w:r>
    </w:p>
    <w:p>
      <w:pPr>
        <w:widowControl w:val="0"/>
        <w:adjustRightInd w:val="0"/>
        <w:snapToGrid w:val="0"/>
        <w:spacing w:line="360" w:lineRule="auto"/>
        <w:ind w:firstLine="480"/>
      </w:pPr>
      <w:r>
        <w:rPr>
          <w:rFonts w:hint="eastAsia"/>
        </w:rPr>
        <w:t>二、遵守国家有关的法律、法规、规章和其他政策制度；</w:t>
      </w:r>
    </w:p>
    <w:p>
      <w:pPr>
        <w:widowControl w:val="0"/>
        <w:adjustRightInd w:val="0"/>
        <w:snapToGrid w:val="0"/>
        <w:spacing w:line="360" w:lineRule="auto"/>
        <w:ind w:firstLine="480"/>
      </w:pPr>
      <w:r>
        <w:rPr>
          <w:rFonts w:hint="eastAsia"/>
        </w:rPr>
        <w:t>三、向代理机构登记购买了磋商文件。</w:t>
      </w:r>
    </w:p>
    <w:bookmarkEnd w:id="36"/>
    <w:bookmarkEnd w:id="37"/>
    <w:bookmarkEnd w:id="38"/>
    <w:bookmarkEnd w:id="39"/>
    <w:p>
      <w:pPr>
        <w:pStyle w:val="4"/>
        <w:keepNext w:val="0"/>
        <w:keepLines w:val="0"/>
        <w:adjustRightInd w:val="0"/>
        <w:snapToGrid w:val="0"/>
        <w:spacing w:line="360" w:lineRule="auto"/>
      </w:pPr>
      <w:bookmarkStart w:id="40" w:name="_Toc27814"/>
      <w:bookmarkStart w:id="41" w:name="_Toc30639"/>
      <w:bookmarkStart w:id="42" w:name="_Toc19185"/>
      <w:bookmarkStart w:id="43" w:name="_Toc10957"/>
      <w:bookmarkStart w:id="44" w:name="_Toc7348"/>
      <w:bookmarkStart w:id="45" w:name="_Toc10374"/>
      <w:bookmarkStart w:id="46" w:name="_Toc320698720"/>
      <w:bookmarkStart w:id="47" w:name="_Toc6047"/>
      <w:bookmarkStart w:id="48" w:name="_Toc365968169"/>
      <w:bookmarkStart w:id="49" w:name="_Toc14376"/>
      <w:bookmarkStart w:id="50" w:name="_Toc24439"/>
      <w:bookmarkStart w:id="51" w:name="_Toc368"/>
      <w:r>
        <w:rPr>
          <w:rFonts w:hint="eastAsia"/>
        </w:rPr>
        <w:t>2.4磋商费用</w:t>
      </w:r>
      <w:bookmarkEnd w:id="40"/>
      <w:bookmarkEnd w:id="41"/>
      <w:bookmarkEnd w:id="42"/>
      <w:bookmarkEnd w:id="43"/>
      <w:bookmarkEnd w:id="44"/>
      <w:bookmarkEnd w:id="45"/>
    </w:p>
    <w:p>
      <w:pPr>
        <w:widowControl w:val="0"/>
        <w:adjustRightInd w:val="0"/>
        <w:snapToGrid w:val="0"/>
        <w:spacing w:line="360" w:lineRule="auto"/>
        <w:ind w:firstLine="480"/>
        <w:rPr>
          <w:rFonts w:asciiTheme="minorEastAsia" w:hAnsiTheme="minorEastAsia" w:eastAsiaTheme="minorEastAsia" w:cstheme="minorEastAsia"/>
        </w:rPr>
      </w:pPr>
      <w:r>
        <w:rPr>
          <w:rFonts w:hint="eastAsia"/>
        </w:rPr>
        <w:t>无论磋商的结果如何，供应商应自行承担参加磋商采购活动有关的全部费用。</w:t>
      </w:r>
    </w:p>
    <w:p>
      <w:pPr>
        <w:pStyle w:val="4"/>
        <w:keepNext w:val="0"/>
        <w:keepLines w:val="0"/>
        <w:adjustRightInd w:val="0"/>
        <w:snapToGrid w:val="0"/>
        <w:spacing w:line="360" w:lineRule="auto"/>
      </w:pPr>
      <w:bookmarkStart w:id="52" w:name="_Toc5830"/>
      <w:bookmarkStart w:id="53" w:name="_Toc28016"/>
      <w:bookmarkStart w:id="54" w:name="_Toc1209"/>
      <w:bookmarkStart w:id="55" w:name="_Toc3253"/>
      <w:bookmarkStart w:id="56" w:name="_Toc20043"/>
      <w:bookmarkStart w:id="57" w:name="_Toc31636"/>
      <w:r>
        <w:rPr>
          <w:rFonts w:hint="eastAsia"/>
        </w:rPr>
        <w:t>2.5充分、公平竞争保障措施</w:t>
      </w:r>
      <w:bookmarkEnd w:id="52"/>
      <w:bookmarkEnd w:id="53"/>
      <w:bookmarkEnd w:id="54"/>
      <w:bookmarkEnd w:id="55"/>
      <w:bookmarkEnd w:id="56"/>
      <w:bookmarkEnd w:id="57"/>
    </w:p>
    <w:p>
      <w:pPr>
        <w:pStyle w:val="80"/>
        <w:snapToGrid w:val="0"/>
        <w:spacing w:line="360" w:lineRule="auto"/>
        <w:ind w:firstLine="480" w:firstLineChars="200"/>
        <w:rPr>
          <w:rFonts w:asciiTheme="minorEastAsia" w:hAnsiTheme="minorEastAsia" w:eastAsiaTheme="minorEastAsia" w:cstheme="minorEastAsia"/>
          <w:sz w:val="24"/>
          <w:szCs w:val="24"/>
        </w:rPr>
      </w:pPr>
      <w:bookmarkStart w:id="58" w:name="_Toc30539"/>
      <w:bookmarkStart w:id="59" w:name="_Toc17358"/>
      <w:bookmarkStart w:id="60" w:name="_Toc16886"/>
      <w:bookmarkStart w:id="61" w:name="_Toc11443"/>
      <w:r>
        <w:rPr>
          <w:rFonts w:hint="eastAsia" w:asciiTheme="minorEastAsia" w:hAnsiTheme="minorEastAsia" w:eastAsiaTheme="minorEastAsia" w:cstheme="minorEastAsia"/>
          <w:sz w:val="24"/>
          <w:szCs w:val="24"/>
        </w:rPr>
        <w:t>2.5.1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2.5.2利害关系授权代表处理。两家以上的供应商不得在同一合同项下的采购项目中，委托同一个自然人、同一家庭的人员、同一单位的人员作为其授权代表，否则，其响应文件作为无效处理。</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2.5.3供应商实际控制人或者中高级管理人员，同时是代理机构工作人员，不得参与本项目采购活动。</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2.5.4同一母公司的两家以上的子公司只能组成联合体参加本项目同一合同项下的采购活动，不得以不同供应商身份同时参加本项目同一合同项下的采购活动。</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2.5.5供应商与代理机构存在关联关系，或者是代理机构的母公司或子公司，不得参加本项目采购活动。</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2.5.6回避。采购活动中，采购人员及相关人员与供应商有下列利害关系之一的，应当回避：</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（1）参加采购活动前3年内与供应商存在劳动关系；</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（2）参加采购活动前3年内担任供应商的董事、监事；</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（3）参加采购活动前3年内是供应商的控股股东或者实际控制人；</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（4）与供应商的法定代表人或者负责人有夫妻、直系血亲、三代以内旁系血亲或者近姻亲关系；</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（5）与供应商有其他可能影响采购活动公平、公正进行的关系。</w:t>
      </w:r>
    </w:p>
    <w:p>
      <w:pPr>
        <w:pStyle w:val="8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购活动中需要依法回避的采购人员是指采购人内部负责采购项目的具体经办工作人员和直接分管采购项目的负责人，以及代理机构负责采购项目的具体经办工作人员和直接分管采购活动的负责人。本项目采购活动中需要依法回避的相关人员是指磋商小组成员。</w:t>
      </w:r>
    </w:p>
    <w:p>
      <w:pPr>
        <w:widowControl w:val="0"/>
        <w:tabs>
          <w:tab w:val="left" w:pos="426"/>
        </w:tabs>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供应商认为采购人员及相关人员与其他供应商有利害关系的，可以向代理机构书面提出回避申请，并说明理由。代理机构将及时询问被申请回避人员，有利害关系的被申请回避人员应当回避。</w:t>
      </w:r>
    </w:p>
    <w:p>
      <w:pPr>
        <w:pStyle w:val="4"/>
        <w:keepNext w:val="0"/>
        <w:keepLines w:val="0"/>
        <w:adjustRightInd w:val="0"/>
        <w:snapToGrid w:val="0"/>
        <w:spacing w:line="360" w:lineRule="auto"/>
      </w:pPr>
      <w:r>
        <w:rPr>
          <w:rFonts w:hint="eastAsia"/>
        </w:rPr>
        <w:t>2.6联合体磋商</w:t>
      </w:r>
      <w:bookmarkEnd w:id="58"/>
    </w:p>
    <w:p>
      <w:pPr>
        <w:widowControl w:val="0"/>
        <w:tabs>
          <w:tab w:val="left" w:pos="426"/>
        </w:tabs>
        <w:adjustRightInd w:val="0"/>
        <w:snapToGrid w:val="0"/>
        <w:spacing w:line="360" w:lineRule="auto"/>
        <w:ind w:firstLine="480"/>
        <w:rPr>
          <w:rFonts w:hint="eastAsia" w:asciiTheme="minorEastAsia" w:hAnsiTheme="minorEastAsia" w:eastAsiaTheme="minorEastAsia" w:cstheme="minorEastAsia"/>
        </w:rPr>
      </w:pPr>
      <w:bookmarkStart w:id="62" w:name="_Toc28196"/>
      <w:r>
        <w:rPr>
          <w:rFonts w:hint="eastAsia" w:asciiTheme="minorEastAsia" w:hAnsiTheme="minorEastAsia" w:eastAsiaTheme="minorEastAsia" w:cstheme="minorEastAsia"/>
        </w:rPr>
        <w:t>本项目接受联合体参与磋商活动。</w:t>
      </w:r>
    </w:p>
    <w:p>
      <w:pPr>
        <w:widowControl w:val="0"/>
        <w:tabs>
          <w:tab w:val="left" w:pos="426"/>
        </w:tabs>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两个以上供应商可以组成一个联合体磋商，以一个供应商的身份磋商。以联合体形式参加磋商的，联合体各方均应当符合磋商邀请中第四条1至6项规定的条件。采购人根据采购项目的特殊要求规定供应商特定条件的，联合体各方中至少应当有一方符合采购人规定的特定条件。</w:t>
      </w:r>
    </w:p>
    <w:p>
      <w:pPr>
        <w:widowControl w:val="0"/>
        <w:tabs>
          <w:tab w:val="left" w:pos="426"/>
        </w:tabs>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2、联合体各方之间应当签订联合体磋商协议，明确约定联合体各方承担的工作和相应的责任，并将共同联合体磋商协议连同响应文件一并提交采购单位。</w:t>
      </w:r>
    </w:p>
    <w:p>
      <w:pPr>
        <w:widowControl w:val="0"/>
        <w:tabs>
          <w:tab w:val="left" w:pos="426"/>
        </w:tabs>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3、联合体应当确定其中一个单位为磋商的全权代表，负责参加磋商的一切事务，并承担磋商及履约中应承担的全部责任与义务。</w:t>
      </w:r>
    </w:p>
    <w:p>
      <w:pPr>
        <w:widowControl w:val="0"/>
        <w:tabs>
          <w:tab w:val="left" w:pos="426"/>
        </w:tabs>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4、联合体各方应当共同与采购人签订采购合同，就采购合同约定的事项对采购人承担连带责任。</w:t>
      </w:r>
    </w:p>
    <w:p>
      <w:pPr>
        <w:widowControl w:val="0"/>
        <w:tabs>
          <w:tab w:val="left" w:pos="426"/>
        </w:tabs>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5、联合体中有同类资质的供应商按照联合体分工承担相同工作的，应当按照资质等级较低的供应商确定资质等级。</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6、以联合体形式参加采购活动的，联合体各方不得再单独参加或者与其他供应商另外组成联合体参加同一合同项下的采购活动。</w:t>
      </w:r>
    </w:p>
    <w:p>
      <w:pPr>
        <w:pStyle w:val="4"/>
        <w:keepNext w:val="0"/>
        <w:keepLines w:val="0"/>
        <w:adjustRightInd w:val="0"/>
        <w:snapToGrid w:val="0"/>
        <w:spacing w:line="360" w:lineRule="auto"/>
      </w:pPr>
      <w:r>
        <w:rPr>
          <w:rFonts w:hint="eastAsia"/>
        </w:rPr>
        <w:t>2.7响应文件有效期</w:t>
      </w:r>
      <w:bookmarkEnd w:id="62"/>
    </w:p>
    <w:p>
      <w:pPr>
        <w:widowControl w:val="0"/>
        <w:adjustRightInd w:val="0"/>
        <w:snapToGrid w:val="0"/>
        <w:spacing w:line="360" w:lineRule="auto"/>
        <w:ind w:firstLine="480"/>
      </w:pPr>
      <w:r>
        <w:rPr>
          <w:rFonts w:hint="eastAsia"/>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4"/>
        <w:keepNext w:val="0"/>
        <w:keepLines w:val="0"/>
        <w:adjustRightInd w:val="0"/>
        <w:snapToGrid w:val="0"/>
        <w:spacing w:line="360" w:lineRule="auto"/>
      </w:pPr>
      <w:bookmarkStart w:id="63" w:name="_Toc6994"/>
      <w:bookmarkStart w:id="64" w:name="_Toc27650"/>
      <w:bookmarkStart w:id="65" w:name="_Toc13098"/>
      <w:bookmarkStart w:id="66" w:name="_Toc8046"/>
      <w:bookmarkStart w:id="67" w:name="_Toc5286"/>
      <w:r>
        <w:rPr>
          <w:rFonts w:hint="eastAsia"/>
        </w:rPr>
        <w:t>2.8磋商文件</w:t>
      </w:r>
      <w:bookmarkEnd w:id="59"/>
      <w:bookmarkEnd w:id="60"/>
      <w:bookmarkEnd w:id="61"/>
      <w:bookmarkEnd w:id="63"/>
      <w:bookmarkEnd w:id="64"/>
      <w:bookmarkEnd w:id="65"/>
      <w:bookmarkEnd w:id="66"/>
      <w:bookmarkEnd w:id="67"/>
    </w:p>
    <w:p>
      <w:pPr>
        <w:pStyle w:val="5"/>
        <w:keepNext w:val="0"/>
        <w:keepLines w:val="0"/>
        <w:adjustRightInd w:val="0"/>
        <w:snapToGrid w:val="0"/>
        <w:spacing w:line="360" w:lineRule="auto"/>
      </w:pPr>
      <w:r>
        <w:rPr>
          <w:rFonts w:hint="eastAsia"/>
        </w:rPr>
        <w:t>2.8.1磋商文件的构成</w:t>
      </w:r>
    </w:p>
    <w:p>
      <w:pPr>
        <w:widowControl w:val="0"/>
        <w:adjustRightInd w:val="0"/>
        <w:snapToGrid w:val="0"/>
        <w:spacing w:line="360" w:lineRule="auto"/>
        <w:ind w:firstLine="480"/>
      </w:pPr>
      <w:r>
        <w:rPr>
          <w:rFonts w:hint="eastAsia"/>
        </w:rPr>
        <w:t>一、磋商文件是供应商准备响应文件和参加磋商的依据，同时也是磋商的重要依据。磋商文件用以阐明磋商项目所需的资质、技术、服务及报价等要求、磋商程序、有关规定和注意事项以及合同主要条款等。</w:t>
      </w:r>
    </w:p>
    <w:p>
      <w:pPr>
        <w:widowControl w:val="0"/>
        <w:adjustRightInd w:val="0"/>
        <w:snapToGrid w:val="0"/>
        <w:spacing w:line="360" w:lineRule="auto"/>
        <w:ind w:firstLine="480"/>
      </w:pPr>
      <w:r>
        <w:rPr>
          <w:rFonts w:hint="eastAsia"/>
        </w:rPr>
        <w:t>二、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adjustRightInd w:val="0"/>
        <w:snapToGrid w:val="0"/>
        <w:spacing w:line="360" w:lineRule="auto"/>
      </w:pPr>
      <w:r>
        <w:rPr>
          <w:rFonts w:hint="eastAsia"/>
        </w:rPr>
        <w:t>2.8.2磋商文件的澄清和修改</w:t>
      </w:r>
    </w:p>
    <w:p>
      <w:pPr>
        <w:widowControl w:val="0"/>
        <w:adjustRightInd w:val="0"/>
        <w:snapToGrid w:val="0"/>
        <w:spacing w:line="360" w:lineRule="auto"/>
        <w:ind w:firstLine="480"/>
      </w:pPr>
      <w:r>
        <w:rPr>
          <w:rFonts w:hint="eastAsia"/>
        </w:rPr>
        <w:t>一、在递交响应文件截止时间前，采购人、代理机构可以对磋商文件进行澄清或者修改。</w:t>
      </w:r>
    </w:p>
    <w:p>
      <w:pPr>
        <w:widowControl w:val="0"/>
        <w:adjustRightInd w:val="0"/>
        <w:snapToGrid w:val="0"/>
        <w:spacing w:line="360" w:lineRule="auto"/>
        <w:ind w:firstLine="480"/>
      </w:pPr>
      <w:r>
        <w:rPr>
          <w:rFonts w:hint="eastAsia"/>
        </w:rPr>
        <w:t>二、采购人或代理机构对已发出的磋商文件进行澄清或者修改，应当以书面形式将澄清或者修改的内容通知所有购买了磋商文件的供应商，同时在</w:t>
      </w:r>
      <w:r>
        <w:rPr>
          <w:rFonts w:hint="eastAsia"/>
          <w:lang w:val="zh-CN"/>
        </w:rPr>
        <w:t>中国采购与招标网上发布后</w:t>
      </w:r>
      <w:r>
        <w:rPr>
          <w:rFonts w:hint="eastAsia"/>
        </w:rPr>
        <w:t>发布更正公告。该澄清或者修改的内容为磋商文件的组成部分，澄清或者修改的内容可能影响响应文件编制的，采购人或者代理机构发布公告并书面通知供应商的时间，应当在提交首次响应文件截止之日起至少5日前；不足上述时间的，应当顺延递交响应文件的截止时间。</w:t>
      </w:r>
    </w:p>
    <w:p>
      <w:pPr>
        <w:pStyle w:val="4"/>
        <w:keepNext w:val="0"/>
        <w:keepLines w:val="0"/>
        <w:adjustRightInd w:val="0"/>
        <w:snapToGrid w:val="0"/>
        <w:spacing w:line="360" w:lineRule="auto"/>
      </w:pPr>
      <w:bookmarkStart w:id="68" w:name="_Toc31854"/>
      <w:bookmarkStart w:id="69" w:name="_Toc25989"/>
      <w:r>
        <w:rPr>
          <w:rFonts w:hint="eastAsia"/>
        </w:rPr>
        <w:t>2.9响应文件</w:t>
      </w:r>
      <w:bookmarkEnd w:id="46"/>
      <w:bookmarkEnd w:id="47"/>
      <w:bookmarkEnd w:id="48"/>
      <w:bookmarkEnd w:id="49"/>
      <w:bookmarkEnd w:id="50"/>
      <w:bookmarkEnd w:id="51"/>
      <w:bookmarkEnd w:id="68"/>
      <w:bookmarkEnd w:id="69"/>
    </w:p>
    <w:p>
      <w:pPr>
        <w:pStyle w:val="5"/>
        <w:keepNext w:val="0"/>
        <w:keepLines w:val="0"/>
        <w:adjustRightInd w:val="0"/>
        <w:snapToGrid w:val="0"/>
        <w:spacing w:line="360" w:lineRule="auto"/>
      </w:pPr>
      <w:bookmarkStart w:id="70" w:name="_Toc14531"/>
      <w:r>
        <w:rPr>
          <w:rFonts w:hint="eastAsia"/>
        </w:rPr>
        <w:t>2.9.1响应文件的组成</w:t>
      </w:r>
      <w:bookmarkEnd w:id="70"/>
    </w:p>
    <w:p>
      <w:pPr>
        <w:widowControl w:val="0"/>
        <w:adjustRightInd w:val="0"/>
        <w:snapToGrid w:val="0"/>
        <w:spacing w:line="360" w:lineRule="auto"/>
        <w:ind w:firstLine="480"/>
      </w:pPr>
      <w:r>
        <w:rPr>
          <w:rFonts w:hint="eastAsia"/>
        </w:rPr>
        <w:t>供应商应按照磋商文件的规定和要求编制响应文件。</w:t>
      </w:r>
    </w:p>
    <w:p>
      <w:pPr>
        <w:pStyle w:val="5"/>
        <w:keepNext w:val="0"/>
        <w:keepLines w:val="0"/>
        <w:adjustRightInd w:val="0"/>
        <w:snapToGrid w:val="0"/>
        <w:spacing w:line="360" w:lineRule="auto"/>
      </w:pPr>
      <w:bookmarkStart w:id="71" w:name="_Toc320698721"/>
      <w:r>
        <w:rPr>
          <w:rFonts w:hint="eastAsia"/>
        </w:rPr>
        <w:t>2.9.2响应文件的语言</w:t>
      </w:r>
      <w:bookmarkEnd w:id="71"/>
    </w:p>
    <w:p>
      <w:pPr>
        <w:widowControl w:val="0"/>
        <w:adjustRightInd w:val="0"/>
        <w:snapToGrid w:val="0"/>
        <w:spacing w:line="360" w:lineRule="auto"/>
        <w:ind w:firstLine="480"/>
        <w:rPr>
          <w:rFonts w:asciiTheme="minorEastAsia" w:hAnsiTheme="minorEastAsia" w:eastAsiaTheme="minorEastAsia" w:cstheme="minorEastAsia"/>
        </w:rPr>
      </w:pPr>
      <w:r>
        <w:rPr>
          <w:rFonts w:hint="eastAsia"/>
        </w:rPr>
        <w:t>供应商提交的响应文件以及供应商与采购人、代理机构就有关报价的所有来往书面文件均须使用中文。</w:t>
      </w:r>
    </w:p>
    <w:p>
      <w:pPr>
        <w:pStyle w:val="5"/>
        <w:keepNext w:val="0"/>
        <w:keepLines w:val="0"/>
        <w:adjustRightInd w:val="0"/>
        <w:snapToGrid w:val="0"/>
        <w:spacing w:line="360" w:lineRule="auto"/>
      </w:pPr>
      <w:bookmarkStart w:id="72" w:name="_Toc19238"/>
      <w:r>
        <w:rPr>
          <w:rFonts w:hint="eastAsia"/>
        </w:rPr>
        <w:t>2.9.3计量单位</w:t>
      </w:r>
      <w:bookmarkEnd w:id="72"/>
    </w:p>
    <w:p>
      <w:pPr>
        <w:widowControl w:val="0"/>
        <w:adjustRightInd w:val="0"/>
        <w:snapToGrid w:val="0"/>
        <w:spacing w:line="360" w:lineRule="auto"/>
        <w:ind w:firstLine="470" w:firstLineChars="196"/>
        <w:rPr>
          <w:rFonts w:asciiTheme="minorEastAsia" w:hAnsiTheme="minorEastAsia" w:eastAsiaTheme="minorEastAsia" w:cstheme="minorEastAsia"/>
          <w:b/>
          <w:bCs/>
        </w:rPr>
      </w:pPr>
      <w:r>
        <w:rPr>
          <w:rFonts w:hint="eastAsia" w:asciiTheme="minorEastAsia" w:hAnsiTheme="minorEastAsia" w:eastAsiaTheme="minorEastAsia" w:cstheme="minorEastAsia"/>
        </w:rPr>
        <w:t xml:space="preserve">除磋商文件中另有规定外，本次采购项目所有合同项下的报价均采用国家法定的计量单位。 </w:t>
      </w:r>
    </w:p>
    <w:p>
      <w:pPr>
        <w:pStyle w:val="5"/>
        <w:keepNext w:val="0"/>
        <w:keepLines w:val="0"/>
        <w:adjustRightInd w:val="0"/>
        <w:snapToGrid w:val="0"/>
        <w:spacing w:line="360" w:lineRule="auto"/>
      </w:pPr>
      <w:bookmarkStart w:id="73" w:name="_Toc320698722"/>
      <w:r>
        <w:rPr>
          <w:rFonts w:hint="eastAsia"/>
        </w:rPr>
        <w:t>2.9.4报价货币</w:t>
      </w:r>
      <w:bookmarkEnd w:id="73"/>
    </w:p>
    <w:p>
      <w:pPr>
        <w:widowControl w:val="0"/>
        <w:adjustRightInd w:val="0"/>
        <w:snapToGrid w:val="0"/>
        <w:spacing w:line="360" w:lineRule="auto"/>
        <w:ind w:firstLine="480"/>
      </w:pPr>
      <w:bookmarkStart w:id="74" w:name="_Toc320698723"/>
      <w:r>
        <w:rPr>
          <w:rFonts w:hint="eastAsia"/>
        </w:rPr>
        <w:t>本次磋商项目的报价货币为人民币，报价以磋商文件规定为准。</w:t>
      </w:r>
    </w:p>
    <w:p>
      <w:pPr>
        <w:pStyle w:val="5"/>
        <w:keepNext w:val="0"/>
        <w:keepLines w:val="0"/>
        <w:adjustRightInd w:val="0"/>
        <w:snapToGrid w:val="0"/>
        <w:spacing w:line="360" w:lineRule="auto"/>
      </w:pPr>
      <w:bookmarkStart w:id="75" w:name="_Toc19461"/>
      <w:r>
        <w:rPr>
          <w:rFonts w:hint="eastAsia"/>
        </w:rPr>
        <w:t>2.9.5响应文件格式</w:t>
      </w:r>
      <w:bookmarkEnd w:id="75"/>
    </w:p>
    <w:p>
      <w:pPr>
        <w:widowControl w:val="0"/>
        <w:adjustRightInd w:val="0"/>
        <w:snapToGrid w:val="0"/>
        <w:spacing w:line="360" w:lineRule="auto"/>
        <w:ind w:firstLine="480"/>
      </w:pPr>
      <w:r>
        <w:rPr>
          <w:rFonts w:hint="eastAsia"/>
        </w:rPr>
        <w:t>2.9.5.1 供应商应执行磋商文件第5章的规定要求。</w:t>
      </w:r>
    </w:p>
    <w:p>
      <w:pPr>
        <w:widowControl w:val="0"/>
        <w:adjustRightInd w:val="0"/>
        <w:snapToGrid w:val="0"/>
        <w:spacing w:line="360" w:lineRule="auto"/>
        <w:ind w:firstLine="480"/>
      </w:pPr>
      <w:r>
        <w:rPr>
          <w:rFonts w:hint="eastAsia"/>
        </w:rPr>
        <w:t>2.9.5.2 对于没有格式要求的磋商文件由供应商自行编写。</w:t>
      </w:r>
    </w:p>
    <w:p>
      <w:pPr>
        <w:pStyle w:val="5"/>
        <w:keepNext w:val="0"/>
        <w:keepLines w:val="0"/>
        <w:adjustRightInd w:val="0"/>
        <w:snapToGrid w:val="0"/>
        <w:spacing w:line="360" w:lineRule="auto"/>
      </w:pPr>
      <w:bookmarkStart w:id="76" w:name="_Toc320698729"/>
      <w:r>
        <w:rPr>
          <w:rFonts w:hint="eastAsia"/>
        </w:rPr>
        <w:t>2.9.6响应文件编制、签署</w:t>
      </w:r>
      <w:bookmarkEnd w:id="76"/>
    </w:p>
    <w:bookmarkEnd w:id="74"/>
    <w:p>
      <w:pPr>
        <w:widowControl w:val="0"/>
        <w:numPr>
          <w:ilvl w:val="0"/>
          <w:numId w:val="5"/>
        </w:numPr>
        <w:adjustRightInd w:val="0"/>
        <w:snapToGrid w:val="0"/>
        <w:spacing w:line="360" w:lineRule="auto"/>
        <w:ind w:firstLine="482"/>
        <w:rPr>
          <w:rFonts w:hint="eastAsia" w:ascii="宋体" w:hAnsi="宋体" w:eastAsia="宋体" w:cs="宋体"/>
          <w:b/>
          <w:bCs/>
          <w:lang w:val="en-US" w:eastAsia="zh-CN"/>
        </w:rPr>
      </w:pPr>
      <w:bookmarkStart w:id="77" w:name="_Toc320698731"/>
      <w:r>
        <w:rPr>
          <w:rFonts w:hint="eastAsia"/>
          <w:b/>
          <w:bCs/>
        </w:rPr>
        <w:t>响应文件正本一份、副本二份</w:t>
      </w:r>
      <w:r>
        <w:rPr>
          <w:rFonts w:hint="eastAsia"/>
        </w:rPr>
        <w:t>，并在其封面上清楚地标明</w:t>
      </w:r>
      <w:r>
        <w:rPr>
          <w:rFonts w:hint="eastAsia"/>
          <w:b/>
          <w:bCs/>
          <w:u w:val="single"/>
        </w:rPr>
        <w:t>响应文件、项目名称、项目编号</w:t>
      </w:r>
      <w:r>
        <w:rPr>
          <w:rFonts w:hint="eastAsia" w:ascii="宋体" w:hAnsi="宋体" w:eastAsia="宋体" w:cs="宋体"/>
          <w:b/>
          <w:bCs/>
          <w:u w:val="single"/>
        </w:rPr>
        <w:t>、供应商名称以及“正本”或“副本”字样。</w:t>
      </w:r>
    </w:p>
    <w:p>
      <w:pPr>
        <w:widowControl w:val="0"/>
        <w:numPr>
          <w:ilvl w:val="0"/>
          <w:numId w:val="5"/>
        </w:numPr>
        <w:adjustRightInd w:val="0"/>
        <w:snapToGrid w:val="0"/>
        <w:spacing w:line="360" w:lineRule="auto"/>
        <w:ind w:firstLine="482"/>
        <w:rPr>
          <w:rFonts w:hint="eastAsia" w:ascii="宋体" w:hAnsi="宋体" w:eastAsia="宋体" w:cs="宋体"/>
          <w:b/>
          <w:bCs/>
          <w:color w:val="C00000"/>
          <w:highlight w:val="none"/>
        </w:rPr>
      </w:pPr>
      <w:r>
        <w:rPr>
          <w:rFonts w:hint="eastAsia"/>
          <w:b/>
          <w:bCs/>
          <w:lang w:val="en-US" w:eastAsia="zh-CN"/>
        </w:rPr>
        <w:t>方案设计文本图册（A4格式）</w:t>
      </w:r>
      <w:r>
        <w:rPr>
          <w:rFonts w:hint="eastAsia"/>
          <w:b/>
          <w:bCs/>
        </w:rPr>
        <w:t>正本一份、副本二份</w:t>
      </w:r>
      <w:r>
        <w:rPr>
          <w:rFonts w:hint="eastAsia"/>
        </w:rPr>
        <w:t>，并在其封面上清楚地标明</w:t>
      </w:r>
      <w:r>
        <w:rPr>
          <w:rFonts w:hint="eastAsia"/>
          <w:b/>
          <w:bCs/>
          <w:u w:val="single"/>
          <w:lang w:val="en-US" w:eastAsia="zh-CN"/>
        </w:rPr>
        <w:t>方案设计文本图册</w:t>
      </w:r>
      <w:r>
        <w:rPr>
          <w:rFonts w:hint="eastAsia"/>
          <w:b/>
          <w:bCs/>
          <w:u w:val="single"/>
        </w:rPr>
        <w:t>、项目名称、项目编号</w:t>
      </w:r>
      <w:r>
        <w:rPr>
          <w:rFonts w:hint="eastAsia" w:ascii="宋体" w:hAnsi="宋体" w:eastAsia="宋体" w:cs="宋体"/>
          <w:b/>
          <w:bCs/>
          <w:u w:val="single"/>
        </w:rPr>
        <w:t>、供应商名称以及“正本”或“副本”字样。</w:t>
      </w:r>
    </w:p>
    <w:p>
      <w:pPr>
        <w:widowControl w:val="0"/>
        <w:numPr>
          <w:ilvl w:val="0"/>
          <w:numId w:val="5"/>
        </w:numPr>
        <w:adjustRightInd w:val="0"/>
        <w:snapToGrid w:val="0"/>
        <w:spacing w:line="360" w:lineRule="auto"/>
        <w:ind w:firstLine="482"/>
        <w:rPr>
          <w:b/>
          <w:bCs/>
        </w:rPr>
      </w:pPr>
      <w:r>
        <w:rPr>
          <w:rFonts w:hint="eastAsia" w:ascii="宋体" w:hAnsi="宋体" w:eastAsia="宋体" w:cs="宋体"/>
          <w:b/>
          <w:bCs/>
        </w:rPr>
        <w:t>电子文档一份</w:t>
      </w:r>
      <w:r>
        <w:rPr>
          <w:rFonts w:hint="eastAsia"/>
          <w:b/>
          <w:bCs/>
        </w:rPr>
        <w:t>，用U盘或光盘的形式提供。</w:t>
      </w:r>
    </w:p>
    <w:p>
      <w:pPr>
        <w:widowControl w:val="0"/>
        <w:adjustRightInd w:val="0"/>
        <w:snapToGrid w:val="0"/>
        <w:spacing w:line="360" w:lineRule="auto"/>
        <w:ind w:firstLine="480"/>
      </w:pPr>
      <w:r>
        <w:rPr>
          <w:rFonts w:hint="eastAsia"/>
          <w:lang w:val="en-US" w:eastAsia="zh-CN"/>
        </w:rPr>
        <w:t>4</w:t>
      </w:r>
      <w:r>
        <w:rPr>
          <w:rFonts w:hint="eastAsia"/>
        </w:rPr>
        <w:t>、供应商应当按照磋商文件的规定编制响应文件，对于没有格式要求的响应文件由供应商自行编写。响应文件应用不褪色的墨水书写或打印，并将所有响应文件的书面材料装订成册。响应文件副本可用正本的复印件，响应文件副本与正本有差异时以正本为准。</w:t>
      </w:r>
    </w:p>
    <w:p>
      <w:pPr>
        <w:widowControl w:val="0"/>
        <w:adjustRightInd w:val="0"/>
        <w:snapToGrid w:val="0"/>
        <w:spacing w:line="360" w:lineRule="auto"/>
        <w:ind w:firstLine="480"/>
        <w:rPr>
          <w:b/>
          <w:bCs/>
        </w:rPr>
      </w:pPr>
      <w:r>
        <w:rPr>
          <w:rFonts w:hint="eastAsia"/>
          <w:lang w:val="en-US" w:eastAsia="zh-CN"/>
        </w:rPr>
        <w:t>5</w:t>
      </w:r>
      <w:r>
        <w:rPr>
          <w:rFonts w:hint="eastAsia"/>
        </w:rPr>
        <w:t>、响应文件应由供应商法定代表人（单位负责人）或其授权代理人在响应文件要求的地方签字或加盖公章。</w:t>
      </w:r>
      <w:r>
        <w:rPr>
          <w:rFonts w:hint="eastAsia"/>
          <w:b/>
          <w:bCs/>
        </w:rPr>
        <w:t>[注：所有要求盖公章的地方都应加盖供应商（法定名称）章（鲜章），不得使用专用章（如经济合同章、磋商专用章等）或下属单位印章代替。]</w:t>
      </w:r>
    </w:p>
    <w:p>
      <w:pPr>
        <w:widowControl w:val="0"/>
        <w:adjustRightInd w:val="0"/>
        <w:snapToGrid w:val="0"/>
        <w:spacing w:line="360" w:lineRule="auto"/>
        <w:ind w:firstLine="480"/>
      </w:pPr>
      <w:r>
        <w:rPr>
          <w:rFonts w:hint="eastAsia"/>
          <w:lang w:val="en-US" w:eastAsia="zh-CN"/>
        </w:rPr>
        <w:t>6</w:t>
      </w:r>
      <w:r>
        <w:rPr>
          <w:rFonts w:hint="eastAsia"/>
        </w:rPr>
        <w:t>、响应文件的打印和书写应清楚工整，任何行间插字、涂改或增删，必须由供应商的法定代表人（单位负责人）或其授权代理人签字。</w:t>
      </w:r>
    </w:p>
    <w:p>
      <w:pPr>
        <w:widowControl w:val="0"/>
        <w:adjustRightInd w:val="0"/>
        <w:snapToGrid w:val="0"/>
        <w:spacing w:line="360" w:lineRule="auto"/>
        <w:ind w:firstLine="480"/>
      </w:pPr>
      <w:r>
        <w:rPr>
          <w:rFonts w:hint="eastAsia"/>
          <w:lang w:val="en-US" w:eastAsia="zh-CN"/>
        </w:rPr>
        <w:t>7</w:t>
      </w:r>
      <w:r>
        <w:rPr>
          <w:rFonts w:hint="eastAsia"/>
        </w:rPr>
        <w:t>、响应文件正本和副本需要逐页编码。</w:t>
      </w:r>
    </w:p>
    <w:p>
      <w:pPr>
        <w:widowControl w:val="0"/>
        <w:adjustRightInd w:val="0"/>
        <w:snapToGrid w:val="0"/>
        <w:spacing w:line="360" w:lineRule="auto"/>
        <w:ind w:firstLine="480"/>
      </w:pPr>
      <w:r>
        <w:rPr>
          <w:rFonts w:hint="eastAsia"/>
          <w:lang w:val="en-US" w:eastAsia="zh-CN"/>
        </w:rPr>
        <w:t>8</w:t>
      </w:r>
      <w:r>
        <w:rPr>
          <w:rFonts w:hint="eastAsia"/>
        </w:rPr>
        <w:t>、响应文件正本和副本采用</w:t>
      </w:r>
      <w:r>
        <w:rPr>
          <w:rFonts w:hint="eastAsia"/>
          <w:b/>
          <w:bCs/>
        </w:rPr>
        <w:t>胶装</w:t>
      </w:r>
      <w:r>
        <w:rPr>
          <w:rFonts w:hint="eastAsia"/>
        </w:rPr>
        <w:t>方式装订成册。</w:t>
      </w:r>
    </w:p>
    <w:p>
      <w:pPr>
        <w:widowControl w:val="0"/>
        <w:adjustRightInd w:val="0"/>
        <w:snapToGrid w:val="0"/>
        <w:spacing w:line="360" w:lineRule="auto"/>
        <w:ind w:firstLine="480"/>
      </w:pPr>
      <w:r>
        <w:rPr>
          <w:rFonts w:hint="eastAsia"/>
          <w:lang w:val="en-US" w:eastAsia="zh-CN"/>
        </w:rPr>
        <w:t>9</w:t>
      </w:r>
      <w:r>
        <w:rPr>
          <w:rFonts w:hint="eastAsia"/>
        </w:rPr>
        <w:t>、响应文件应根据磋商文件的要求制作，签署、盖章。</w:t>
      </w:r>
    </w:p>
    <w:p>
      <w:pPr>
        <w:widowControl w:val="0"/>
        <w:adjustRightInd w:val="0"/>
        <w:snapToGrid w:val="0"/>
        <w:spacing w:line="360" w:lineRule="auto"/>
        <w:ind w:firstLine="480"/>
      </w:pPr>
      <w:r>
        <w:rPr>
          <w:rFonts w:hint="eastAsia"/>
          <w:lang w:val="en-US" w:eastAsia="zh-CN"/>
        </w:rPr>
        <w:t>10</w:t>
      </w:r>
      <w:r>
        <w:rPr>
          <w:rFonts w:hint="eastAsia"/>
        </w:rPr>
        <w:t>、响应文件统一用A4幅面纸印制，除另有规定外。</w:t>
      </w:r>
    </w:p>
    <w:p>
      <w:pPr>
        <w:pStyle w:val="5"/>
        <w:keepNext w:val="0"/>
        <w:keepLines w:val="0"/>
        <w:adjustRightInd w:val="0"/>
        <w:snapToGrid w:val="0"/>
        <w:spacing w:line="360" w:lineRule="auto"/>
      </w:pPr>
      <w:bookmarkStart w:id="78" w:name="_Toc320698730"/>
      <w:r>
        <w:rPr>
          <w:rFonts w:hint="eastAsia"/>
        </w:rPr>
        <w:t>2.9.7响应文件的包装、密封和标注</w:t>
      </w:r>
      <w:bookmarkEnd w:id="78"/>
    </w:p>
    <w:p>
      <w:pPr>
        <w:widowControl w:val="0"/>
        <w:adjustRightInd w:val="0"/>
        <w:snapToGrid w:val="0"/>
        <w:spacing w:line="360" w:lineRule="auto"/>
        <w:ind w:firstLine="480"/>
        <w:rPr>
          <w:rFonts w:hint="eastAsia"/>
        </w:rPr>
      </w:pPr>
      <w:r>
        <w:rPr>
          <w:rFonts w:hint="eastAsia"/>
        </w:rPr>
        <w:t xml:space="preserve">2.9.7.1 </w:t>
      </w:r>
      <w:r>
        <w:rPr>
          <w:rFonts w:hint="eastAsia"/>
          <w:b/>
          <w:bCs/>
          <w:u w:val="single"/>
        </w:rPr>
        <w:t>响应文件、</w:t>
      </w:r>
      <w:r>
        <w:rPr>
          <w:rFonts w:hint="eastAsia"/>
          <w:b/>
          <w:bCs/>
          <w:u w:val="single"/>
          <w:lang w:val="en-US" w:eastAsia="zh-CN"/>
        </w:rPr>
        <w:t>方案设计文本图册、</w:t>
      </w:r>
      <w:r>
        <w:rPr>
          <w:rFonts w:hint="eastAsia"/>
          <w:b/>
          <w:bCs/>
          <w:u w:val="single"/>
        </w:rPr>
        <w:t>电子文档可以分别单独密封包装，也可以密封包装在一个密封袋内。</w:t>
      </w:r>
    </w:p>
    <w:p>
      <w:pPr>
        <w:widowControl w:val="0"/>
        <w:adjustRightInd w:val="0"/>
        <w:snapToGrid w:val="0"/>
        <w:spacing w:line="360" w:lineRule="auto"/>
        <w:ind w:firstLine="480"/>
      </w:pPr>
      <w:r>
        <w:rPr>
          <w:rFonts w:hint="eastAsia"/>
        </w:rPr>
        <w:t>2.9.7.</w:t>
      </w:r>
      <w:r>
        <w:rPr>
          <w:rFonts w:hint="eastAsia"/>
          <w:lang w:val="en-US" w:eastAsia="zh-CN"/>
        </w:rPr>
        <w:t>2</w:t>
      </w:r>
      <w:r>
        <w:rPr>
          <w:rFonts w:hint="eastAsia"/>
          <w:b/>
          <w:bCs/>
        </w:rPr>
        <w:t>包装密封袋的最外层应清楚地标明项目名称、项目编号、供应商名称，并加盖供应商公章。</w:t>
      </w:r>
    </w:p>
    <w:p>
      <w:pPr>
        <w:widowControl w:val="0"/>
        <w:adjustRightInd w:val="0"/>
        <w:snapToGrid w:val="0"/>
        <w:spacing w:line="360" w:lineRule="auto"/>
        <w:ind w:firstLine="480"/>
      </w:pPr>
      <w:r>
        <w:rPr>
          <w:rFonts w:hint="eastAsia"/>
        </w:rPr>
        <w:t>2.9.7.</w:t>
      </w:r>
      <w:r>
        <w:rPr>
          <w:rFonts w:hint="eastAsia"/>
          <w:lang w:val="en-US" w:eastAsia="zh-CN"/>
        </w:rPr>
        <w:t>3</w:t>
      </w:r>
      <w:r>
        <w:rPr>
          <w:rFonts w:hint="eastAsia"/>
        </w:rPr>
        <w:t>外层密封袋的封口处应粘贴牢固。</w:t>
      </w:r>
    </w:p>
    <w:p>
      <w:pPr>
        <w:widowControl w:val="0"/>
        <w:adjustRightInd w:val="0"/>
        <w:snapToGrid w:val="0"/>
        <w:spacing w:line="360" w:lineRule="auto"/>
        <w:ind w:firstLine="480"/>
      </w:pPr>
      <w:r>
        <w:rPr>
          <w:rFonts w:hint="eastAsia"/>
        </w:rPr>
        <w:t>2.9.7.</w:t>
      </w:r>
      <w:r>
        <w:rPr>
          <w:rFonts w:hint="eastAsia"/>
          <w:lang w:val="en-US" w:eastAsia="zh-CN"/>
        </w:rPr>
        <w:t>4</w:t>
      </w:r>
      <w:r>
        <w:rPr>
          <w:rFonts w:hint="eastAsia"/>
        </w:rPr>
        <w:t>未按以上要求进行密封和标注的响应文件，代理机构将拒收或者在时间允许的范围内，要求修改完善后接收。</w:t>
      </w:r>
    </w:p>
    <w:p>
      <w:pPr>
        <w:pStyle w:val="5"/>
        <w:keepNext w:val="0"/>
        <w:keepLines w:val="0"/>
        <w:adjustRightInd w:val="0"/>
        <w:snapToGrid w:val="0"/>
        <w:spacing w:line="360" w:lineRule="auto"/>
      </w:pPr>
      <w:r>
        <w:rPr>
          <w:rFonts w:hint="eastAsia"/>
        </w:rPr>
        <w:t>2.9.8响应文件的递交</w:t>
      </w:r>
      <w:bookmarkEnd w:id="77"/>
    </w:p>
    <w:p>
      <w:pPr>
        <w:widowControl w:val="0"/>
        <w:adjustRightInd w:val="0"/>
        <w:snapToGrid w:val="0"/>
        <w:spacing w:line="360" w:lineRule="auto"/>
        <w:ind w:firstLine="480"/>
      </w:pPr>
      <w:bookmarkStart w:id="79" w:name="_Toc10263"/>
      <w:bookmarkStart w:id="80" w:name="_Toc365968172"/>
      <w:bookmarkStart w:id="81" w:name="_Toc287623645"/>
      <w:bookmarkStart w:id="82" w:name="_Toc18180"/>
      <w:bookmarkStart w:id="83" w:name="_Toc20688"/>
      <w:bookmarkStart w:id="84" w:name="_Toc14799"/>
      <w:r>
        <w:rPr>
          <w:rFonts w:hint="eastAsia"/>
        </w:rPr>
        <w:t>2.10.8.1 响应文件、电子文档应于递交响应文件截止时间前送达指定地点，代理机构拒绝接收截止时间后送达的响应文件。</w:t>
      </w:r>
    </w:p>
    <w:p>
      <w:pPr>
        <w:widowControl w:val="0"/>
        <w:adjustRightInd w:val="0"/>
        <w:snapToGrid w:val="0"/>
        <w:spacing w:line="360" w:lineRule="auto"/>
        <w:ind w:firstLine="480"/>
      </w:pPr>
      <w:r>
        <w:rPr>
          <w:rFonts w:hint="eastAsia"/>
        </w:rPr>
        <w:t>2.10.8.2 代理机构将向通过资格审查的供应商发出磋商邀请；告知未通过资格审查的供应商未通过的原因。</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rPr>
        <w:t>2.10.8.3 本次采购不接收邮寄的响应文件</w:t>
      </w:r>
      <w:r>
        <w:rPr>
          <w:rFonts w:hint="eastAsia" w:asciiTheme="minorEastAsia" w:hAnsiTheme="minorEastAsia" w:eastAsiaTheme="minorEastAsia" w:cstheme="minorEastAsia"/>
        </w:rPr>
        <w:t>。</w:t>
      </w:r>
    </w:p>
    <w:p>
      <w:pPr>
        <w:pStyle w:val="5"/>
        <w:keepNext w:val="0"/>
        <w:keepLines w:val="0"/>
        <w:adjustRightInd w:val="0"/>
        <w:snapToGrid w:val="0"/>
        <w:spacing w:line="360" w:lineRule="auto"/>
      </w:pPr>
      <w:r>
        <w:rPr>
          <w:rFonts w:hint="eastAsia"/>
        </w:rPr>
        <w:t>2.9.9响应文件的修改和撤回</w:t>
      </w:r>
    </w:p>
    <w:p>
      <w:pPr>
        <w:widowControl w:val="0"/>
        <w:adjustRightInd w:val="0"/>
        <w:snapToGrid w:val="0"/>
        <w:spacing w:line="360" w:lineRule="auto"/>
        <w:ind w:firstLine="480"/>
      </w:pPr>
      <w:r>
        <w:rPr>
          <w:rFonts w:hint="eastAsia"/>
        </w:rPr>
        <w:t>2.9.9.1供应商在提交响应文件后可对其响应文件进行修改或撤回，但该修改或撤回的书面通知须在递交截止时间之前送达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widowControl w:val="0"/>
        <w:adjustRightInd w:val="0"/>
        <w:snapToGrid w:val="0"/>
        <w:spacing w:line="360" w:lineRule="auto"/>
        <w:ind w:firstLine="480"/>
      </w:pPr>
      <w:r>
        <w:rPr>
          <w:rFonts w:hint="eastAsia"/>
        </w:rPr>
        <w:t>2.9.9.2供应商对响应文件修改的书面材料或撤回的通知应该按规定进行编写、密封、标注和递送，并注明“修改响应文件”字样。</w:t>
      </w:r>
    </w:p>
    <w:p>
      <w:pPr>
        <w:widowControl w:val="0"/>
        <w:adjustRightInd w:val="0"/>
        <w:snapToGrid w:val="0"/>
        <w:spacing w:line="360" w:lineRule="auto"/>
        <w:ind w:firstLine="480"/>
      </w:pPr>
      <w:r>
        <w:rPr>
          <w:rFonts w:hint="eastAsia"/>
        </w:rPr>
        <w:t>2.9.9.3 响应文件中报价如果出现下列不一致的，可按以下原则进行修改：</w:t>
      </w:r>
    </w:p>
    <w:p>
      <w:pPr>
        <w:widowControl w:val="0"/>
        <w:adjustRightInd w:val="0"/>
        <w:snapToGrid w:val="0"/>
        <w:spacing w:line="360" w:lineRule="auto"/>
        <w:ind w:firstLine="480"/>
      </w:pPr>
      <w:r>
        <w:rPr>
          <w:rFonts w:hint="eastAsia"/>
        </w:rPr>
        <w:t>（一）大写金额和小写金额不一致的，以大写金额为准，但大写金额文字存在错误的，应当先对大写金额的文字错误进行澄清、说明或者更正，再行修正。</w:t>
      </w:r>
    </w:p>
    <w:p>
      <w:pPr>
        <w:widowControl w:val="0"/>
        <w:adjustRightInd w:val="0"/>
        <w:snapToGrid w:val="0"/>
        <w:spacing w:line="360" w:lineRule="auto"/>
        <w:ind w:firstLine="480"/>
      </w:pPr>
      <w:r>
        <w:rPr>
          <w:rFonts w:hint="eastAsia"/>
        </w:rPr>
        <w:t>（二）总价金额与按单价汇总金额不一致的，以单价金额计算结果为准，但单价或者单价汇总金额存在数字或者文字错误的，应当先对数字或者文字错误进行澄清、说明或者更正，再行修正。</w:t>
      </w:r>
    </w:p>
    <w:p>
      <w:pPr>
        <w:widowControl w:val="0"/>
        <w:adjustRightInd w:val="0"/>
        <w:snapToGrid w:val="0"/>
        <w:spacing w:line="360" w:lineRule="auto"/>
        <w:ind w:firstLine="480"/>
      </w:pPr>
      <w:r>
        <w:rPr>
          <w:rFonts w:hint="eastAsia"/>
        </w:rPr>
        <w:t>（三）单价金额小数点或者百分比有明显错位的，以总价为准，修正单价。</w:t>
      </w:r>
    </w:p>
    <w:p>
      <w:pPr>
        <w:widowControl w:val="0"/>
        <w:adjustRightInd w:val="0"/>
        <w:snapToGrid w:val="0"/>
        <w:spacing w:line="360" w:lineRule="auto"/>
        <w:ind w:firstLine="480"/>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rPr>
        <w:t>2.9.9.4供应商对其提交的响应文件的真实性、合法性承担法律责任</w:t>
      </w:r>
      <w:r>
        <w:rPr>
          <w:rFonts w:hint="eastAsia" w:asciiTheme="minorEastAsia" w:hAnsiTheme="minorEastAsia" w:eastAsiaTheme="minorEastAsia" w:cstheme="minorEastAsia"/>
        </w:rPr>
        <w:t>。</w:t>
      </w:r>
      <w:bookmarkStart w:id="85" w:name="_Toc31109"/>
      <w:bookmarkStart w:id="86" w:name="_Toc6521"/>
    </w:p>
    <w:p>
      <w:pPr>
        <w:pStyle w:val="4"/>
        <w:keepNext w:val="0"/>
        <w:keepLines w:val="0"/>
        <w:adjustRightInd w:val="0"/>
        <w:snapToGrid w:val="0"/>
        <w:spacing w:line="360" w:lineRule="auto"/>
      </w:pPr>
      <w:r>
        <w:rPr>
          <w:rFonts w:hint="eastAsia"/>
        </w:rPr>
        <w:t>2.10磋商小组的组建及其评审工作按照有关法律制度和本文件第6章的规定进行。</w:t>
      </w:r>
      <w:bookmarkEnd w:id="85"/>
      <w:bookmarkEnd w:id="86"/>
    </w:p>
    <w:p>
      <w:pPr>
        <w:pStyle w:val="4"/>
        <w:keepNext w:val="0"/>
        <w:keepLines w:val="0"/>
        <w:adjustRightInd w:val="0"/>
        <w:snapToGrid w:val="0"/>
        <w:spacing w:line="360" w:lineRule="auto"/>
      </w:pPr>
      <w:bookmarkStart w:id="87" w:name="_Toc9547"/>
      <w:bookmarkStart w:id="88" w:name="_Toc26577"/>
      <w:r>
        <w:rPr>
          <w:rFonts w:hint="eastAsia"/>
        </w:rPr>
        <w:t>2.11确定成交供应商</w:t>
      </w:r>
      <w:bookmarkEnd w:id="87"/>
      <w:bookmarkEnd w:id="88"/>
    </w:p>
    <w:p>
      <w:pPr>
        <w:widowControl w:val="0"/>
        <w:adjustRightInd w:val="0"/>
        <w:snapToGrid w:val="0"/>
        <w:spacing w:line="360" w:lineRule="auto"/>
        <w:ind w:firstLine="480"/>
      </w:pPr>
      <w:r>
        <w:rPr>
          <w:rFonts w:hint="eastAsia"/>
        </w:rPr>
        <w:t>方式一：采购人将按磋商小组推荐的成交候选供应商顺序确定成交供应商。</w:t>
      </w:r>
    </w:p>
    <w:p>
      <w:pPr>
        <w:widowControl w:val="0"/>
        <w:adjustRightInd w:val="0"/>
        <w:snapToGrid w:val="0"/>
        <w:spacing w:line="360" w:lineRule="auto"/>
        <w:ind w:firstLine="480"/>
      </w:pPr>
      <w:r>
        <w:rPr>
          <w:rFonts w:hint="eastAsia"/>
        </w:rPr>
        <w:t>方式二：采购人授权磋商小组根据综合评分排名直接确定成交供应商。</w:t>
      </w:r>
    </w:p>
    <w:p>
      <w:pPr>
        <w:widowControl w:val="0"/>
        <w:adjustRightInd w:val="0"/>
        <w:snapToGrid w:val="0"/>
        <w:spacing w:line="360" w:lineRule="auto"/>
        <w:ind w:firstLine="480"/>
      </w:pPr>
      <w:r>
        <w:rPr>
          <w:rFonts w:hint="eastAsia"/>
        </w:rPr>
        <w:t>本项目采用方式一确定成交供应商。</w:t>
      </w:r>
    </w:p>
    <w:p>
      <w:pPr>
        <w:widowControl w:val="0"/>
        <w:adjustRightInd w:val="0"/>
        <w:snapToGrid w:val="0"/>
        <w:spacing w:line="360" w:lineRule="auto"/>
        <w:ind w:firstLine="480"/>
      </w:pPr>
      <w:r>
        <w:rPr>
          <w:rFonts w:hint="eastAsia"/>
        </w:rPr>
        <w:t>2.11.1代理机构自评审结束后2个工作日内将磋商报告及有关资料送交采购人确定成交供应商。</w:t>
      </w:r>
    </w:p>
    <w:p>
      <w:pPr>
        <w:widowControl w:val="0"/>
        <w:adjustRightInd w:val="0"/>
        <w:snapToGrid w:val="0"/>
        <w:spacing w:line="360" w:lineRule="auto"/>
        <w:ind w:firstLine="480"/>
      </w:pPr>
      <w:r>
        <w:rPr>
          <w:rFonts w:hint="eastAsia"/>
        </w:rPr>
        <w:t>2.11.2采购人收到磋商报告及有关资料后，将在5个工作日内按照磋商报告中推荐的成交候选供应商顺序确定成交供应商。成交候选供应商并列的，采购人自主采取随机抽签的方式选择成交供应商。采购人逾期未确定成交供应商且不提出异议的，视为确定磋商报告提出的排序第一的供应商为成交供应商。</w:t>
      </w:r>
    </w:p>
    <w:p>
      <w:pPr>
        <w:widowControl w:val="0"/>
        <w:adjustRightInd w:val="0"/>
        <w:snapToGrid w:val="0"/>
        <w:spacing w:line="360" w:lineRule="auto"/>
        <w:ind w:firstLine="480"/>
      </w:pPr>
      <w:r>
        <w:rPr>
          <w:rFonts w:hint="eastAsia"/>
        </w:rPr>
        <w:t>2.11.3采购人确定成交供应商过程中，发现成交候选供应商有下列情形之一的，应当不予确定其为成交供应商：</w:t>
      </w:r>
    </w:p>
    <w:p>
      <w:pPr>
        <w:widowControl w:val="0"/>
        <w:adjustRightInd w:val="0"/>
        <w:snapToGrid w:val="0"/>
        <w:spacing w:line="360" w:lineRule="auto"/>
        <w:ind w:firstLine="480"/>
      </w:pPr>
      <w:r>
        <w:rPr>
          <w:rFonts w:hint="eastAsia"/>
        </w:rPr>
        <w:t>（1）发现成交候选供应商存在禁止参加本项目采购活动的违法行为的；</w:t>
      </w:r>
    </w:p>
    <w:p>
      <w:pPr>
        <w:widowControl w:val="0"/>
        <w:adjustRightInd w:val="0"/>
        <w:snapToGrid w:val="0"/>
        <w:spacing w:line="360" w:lineRule="auto"/>
        <w:ind w:firstLine="480"/>
      </w:pPr>
      <w:r>
        <w:rPr>
          <w:rFonts w:hint="eastAsia"/>
        </w:rPr>
        <w:t>（2）成交候选供应商因不可抗力，不能继续参加采购活动；</w:t>
      </w:r>
    </w:p>
    <w:p>
      <w:pPr>
        <w:widowControl w:val="0"/>
        <w:adjustRightInd w:val="0"/>
        <w:snapToGrid w:val="0"/>
        <w:spacing w:line="360" w:lineRule="auto"/>
        <w:ind w:firstLine="480"/>
      </w:pPr>
      <w:r>
        <w:rPr>
          <w:rFonts w:hint="eastAsia"/>
        </w:rPr>
        <w:t>（3）成交候选供应商无偿赠与或者低于成本价竞争；</w:t>
      </w:r>
    </w:p>
    <w:p>
      <w:pPr>
        <w:widowControl w:val="0"/>
        <w:adjustRightInd w:val="0"/>
        <w:snapToGrid w:val="0"/>
        <w:spacing w:line="360" w:lineRule="auto"/>
        <w:ind w:firstLine="480"/>
      </w:pPr>
      <w:r>
        <w:rPr>
          <w:rFonts w:hint="eastAsia"/>
        </w:rPr>
        <w:t>（4）成交候选供应商提供虚假材料；</w:t>
      </w:r>
    </w:p>
    <w:p>
      <w:pPr>
        <w:widowControl w:val="0"/>
        <w:adjustRightInd w:val="0"/>
        <w:snapToGrid w:val="0"/>
        <w:spacing w:line="360" w:lineRule="auto"/>
        <w:ind w:firstLine="480"/>
      </w:pPr>
      <w:r>
        <w:rPr>
          <w:rFonts w:hint="eastAsia"/>
        </w:rPr>
        <w:t>（5）成交候选供应商恶意串通。</w:t>
      </w:r>
    </w:p>
    <w:p>
      <w:pPr>
        <w:widowControl w:val="0"/>
        <w:adjustRightInd w:val="0"/>
        <w:snapToGrid w:val="0"/>
        <w:spacing w:line="360" w:lineRule="auto"/>
        <w:ind w:firstLine="480"/>
      </w:pPr>
      <w:r>
        <w:rPr>
          <w:rFonts w:hint="eastAsia"/>
        </w:rPr>
        <w:t>成交候选供应商有本条情形之一的，采购人可以确定后一位成交候选供应商为成交供应商，依次类推。无法确定成交供应商的，应当重新组织采购。</w:t>
      </w:r>
    </w:p>
    <w:p>
      <w:pPr>
        <w:pStyle w:val="4"/>
        <w:keepNext w:val="0"/>
        <w:keepLines w:val="0"/>
        <w:adjustRightInd w:val="0"/>
        <w:snapToGrid w:val="0"/>
        <w:spacing w:line="360" w:lineRule="auto"/>
      </w:pPr>
      <w:bookmarkStart w:id="89" w:name="_Toc6946"/>
      <w:bookmarkStart w:id="90" w:name="_Toc24034"/>
      <w:r>
        <w:rPr>
          <w:rFonts w:hint="eastAsia"/>
        </w:rPr>
        <w:t>2.12成交结果</w:t>
      </w:r>
      <w:bookmarkEnd w:id="89"/>
      <w:bookmarkEnd w:id="90"/>
    </w:p>
    <w:p>
      <w:pPr>
        <w:widowControl w:val="0"/>
        <w:adjustRightInd w:val="0"/>
        <w:snapToGrid w:val="0"/>
        <w:spacing w:line="360" w:lineRule="auto"/>
        <w:ind w:firstLine="480"/>
      </w:pPr>
      <w:r>
        <w:rPr>
          <w:rFonts w:hint="eastAsia"/>
        </w:rPr>
        <w:t>2.12.1采购人确定成交供应商后，将及时书面通知代理机构，发出成交通知书并发布成交结果公告。</w:t>
      </w:r>
    </w:p>
    <w:p>
      <w:pPr>
        <w:widowControl w:val="0"/>
        <w:adjustRightInd w:val="0"/>
        <w:snapToGrid w:val="0"/>
        <w:spacing w:line="360" w:lineRule="auto"/>
        <w:ind w:firstLine="480"/>
      </w:pPr>
      <w:r>
        <w:rPr>
          <w:rFonts w:hint="eastAsia"/>
        </w:rPr>
        <w:t>2.12.2成交供应商应当及时领取成交通知书。</w:t>
      </w:r>
    </w:p>
    <w:p>
      <w:pPr>
        <w:pStyle w:val="4"/>
        <w:keepNext w:val="0"/>
        <w:keepLines w:val="0"/>
        <w:adjustRightInd w:val="0"/>
        <w:snapToGrid w:val="0"/>
        <w:spacing w:line="360" w:lineRule="auto"/>
      </w:pPr>
      <w:bookmarkStart w:id="91" w:name="_Toc20309"/>
      <w:r>
        <w:rPr>
          <w:rFonts w:hint="eastAsia"/>
        </w:rPr>
        <w:t>2.13成交通知书领取</w:t>
      </w:r>
      <w:bookmarkEnd w:id="91"/>
    </w:p>
    <w:p>
      <w:pPr>
        <w:widowControl w:val="0"/>
        <w:adjustRightInd w:val="0"/>
        <w:snapToGrid w:val="0"/>
        <w:spacing w:line="360" w:lineRule="auto"/>
        <w:ind w:firstLine="480"/>
      </w:pPr>
      <w:r>
        <w:rPr>
          <w:rFonts w:hint="eastAsia"/>
        </w:rPr>
        <w:t>2.13.1成交结果公告后，请成交供应商持公司介绍信（注明项目名称、项目编号以及经办事项等，加盖公章）、经办人身份证（复印件并加盖公章）到四川天力招标有限责任公司领取成交通知书。</w:t>
      </w:r>
    </w:p>
    <w:p>
      <w:pPr>
        <w:widowControl w:val="0"/>
        <w:adjustRightInd w:val="0"/>
        <w:snapToGrid w:val="0"/>
        <w:spacing w:line="360" w:lineRule="auto"/>
        <w:ind w:firstLine="480"/>
      </w:pPr>
      <w:r>
        <w:rPr>
          <w:rFonts w:hint="eastAsia"/>
        </w:rPr>
        <w:t>联系人：</w:t>
      </w:r>
      <w:r>
        <w:rPr>
          <w:rFonts w:hint="eastAsia"/>
          <w:lang w:val="en-US" w:eastAsia="zh-CN"/>
        </w:rPr>
        <w:t>漆</w:t>
      </w:r>
      <w:r>
        <w:rPr>
          <w:rFonts w:hint="eastAsia"/>
        </w:rPr>
        <w:t xml:space="preserve">女士 </w:t>
      </w:r>
    </w:p>
    <w:p>
      <w:pPr>
        <w:widowControl w:val="0"/>
        <w:adjustRightInd w:val="0"/>
        <w:snapToGrid w:val="0"/>
        <w:spacing w:line="360" w:lineRule="auto"/>
        <w:ind w:firstLine="480"/>
      </w:pPr>
      <w:r>
        <w:rPr>
          <w:rFonts w:hint="eastAsia"/>
        </w:rPr>
        <w:t xml:space="preserve">联系电话：028-87701706/18328703880   </w:t>
      </w:r>
    </w:p>
    <w:p>
      <w:pPr>
        <w:widowControl w:val="0"/>
        <w:adjustRightInd w:val="0"/>
        <w:snapToGrid w:val="0"/>
        <w:spacing w:line="360" w:lineRule="auto"/>
        <w:ind w:firstLine="480"/>
      </w:pPr>
      <w:r>
        <w:rPr>
          <w:rFonts w:hint="eastAsia"/>
        </w:rPr>
        <w:t>地址：成都市金牛区九里堤南路93号6楼</w:t>
      </w:r>
    </w:p>
    <w:p>
      <w:pPr>
        <w:widowControl w:val="0"/>
        <w:adjustRightInd w:val="0"/>
        <w:snapToGrid w:val="0"/>
        <w:spacing w:line="360" w:lineRule="auto"/>
        <w:ind w:firstLine="480"/>
      </w:pPr>
      <w:r>
        <w:rPr>
          <w:rFonts w:hint="eastAsia"/>
        </w:rPr>
        <w:t>2.13.2成交供应商不能及时领取成交通知书，采购人或者代理机构应当通过邮寄、快递等方式将项目成交通知书送达成交供应商。</w:t>
      </w:r>
    </w:p>
    <w:p>
      <w:pPr>
        <w:pStyle w:val="4"/>
        <w:keepNext w:val="0"/>
        <w:keepLines w:val="0"/>
        <w:adjustRightInd w:val="0"/>
        <w:snapToGrid w:val="0"/>
        <w:spacing w:line="360" w:lineRule="auto"/>
      </w:pPr>
      <w:bookmarkStart w:id="92" w:name="_Toc3258"/>
      <w:bookmarkStart w:id="93" w:name="_Toc18301"/>
      <w:r>
        <w:rPr>
          <w:rFonts w:hint="eastAsia"/>
        </w:rPr>
        <w:t>2.14成交通知书</w:t>
      </w:r>
      <w:bookmarkEnd w:id="92"/>
      <w:bookmarkEnd w:id="93"/>
    </w:p>
    <w:p>
      <w:pPr>
        <w:widowControl w:val="0"/>
        <w:adjustRightInd w:val="0"/>
        <w:snapToGrid w:val="0"/>
        <w:spacing w:line="360" w:lineRule="auto"/>
        <w:ind w:firstLine="480"/>
      </w:pPr>
      <w:r>
        <w:rPr>
          <w:rFonts w:hint="eastAsia"/>
        </w:rPr>
        <w:t>2.14.1成交通知书为签订采购合同的依据之一，是合同的有效组成部分。</w:t>
      </w:r>
    </w:p>
    <w:p>
      <w:pPr>
        <w:widowControl w:val="0"/>
        <w:adjustRightInd w:val="0"/>
        <w:snapToGrid w:val="0"/>
        <w:spacing w:line="360" w:lineRule="auto"/>
        <w:ind w:firstLine="480"/>
      </w:pPr>
      <w:r>
        <w:rPr>
          <w:rFonts w:hint="eastAsia"/>
        </w:rPr>
        <w:t>2.14.2成交通知书对采购人和成交供应商均具有法律效力。成交通知书发出后，采购人无正当理由改变成交结果，或者成交供应商无正当理由放弃成交的，将承担相应的法律责任。</w:t>
      </w:r>
    </w:p>
    <w:p>
      <w:pPr>
        <w:widowControl w:val="0"/>
        <w:adjustRightInd w:val="0"/>
        <w:snapToGrid w:val="0"/>
        <w:spacing w:line="360" w:lineRule="auto"/>
        <w:ind w:firstLine="480"/>
      </w:pPr>
      <w:r>
        <w:rPr>
          <w:rFonts w:hint="eastAsia"/>
        </w:rPr>
        <w:t>2.14.3成交供应商的响应文件作为无效响应文件处理或者有采购法律法规规章制度规定的成交无效情形的，采购人或代理机构在取得有权主体的认定以后，有权宣布发出的成交通知书无效，并收回发出的成交通知书，依法重新确定成交供应商或者重新开展采购活动。</w:t>
      </w:r>
    </w:p>
    <w:p>
      <w:pPr>
        <w:pStyle w:val="4"/>
        <w:keepNext w:val="0"/>
        <w:keepLines w:val="0"/>
        <w:adjustRightInd w:val="0"/>
        <w:snapToGrid w:val="0"/>
        <w:spacing w:line="360" w:lineRule="auto"/>
      </w:pPr>
      <w:bookmarkStart w:id="94" w:name="_Toc22828"/>
      <w:bookmarkStart w:id="95" w:name="_Toc14660"/>
      <w:bookmarkStart w:id="96" w:name="_Toc30805"/>
      <w:r>
        <w:rPr>
          <w:rFonts w:hint="eastAsia"/>
        </w:rPr>
        <w:t>2.15合同事项</w:t>
      </w:r>
      <w:bookmarkEnd w:id="94"/>
      <w:bookmarkEnd w:id="95"/>
      <w:bookmarkEnd w:id="96"/>
    </w:p>
    <w:p>
      <w:pPr>
        <w:pStyle w:val="5"/>
        <w:keepNext w:val="0"/>
        <w:keepLines w:val="0"/>
        <w:adjustRightInd w:val="0"/>
        <w:snapToGrid w:val="0"/>
        <w:spacing w:line="360" w:lineRule="auto"/>
      </w:pPr>
      <w:bookmarkStart w:id="97" w:name="_Toc430773927"/>
      <w:bookmarkStart w:id="98" w:name="_Toc101174151"/>
      <w:bookmarkStart w:id="99" w:name="_Toc209847069"/>
      <w:bookmarkStart w:id="100" w:name="_Toc101338364"/>
      <w:bookmarkStart w:id="101" w:name="_Toc21196"/>
      <w:bookmarkStart w:id="102" w:name="_Toc101250646"/>
      <w:r>
        <w:rPr>
          <w:rFonts w:hint="eastAsia"/>
        </w:rPr>
        <w:t>2.15.1签订合同</w:t>
      </w:r>
      <w:bookmarkEnd w:id="97"/>
      <w:bookmarkEnd w:id="98"/>
      <w:bookmarkEnd w:id="99"/>
      <w:bookmarkEnd w:id="100"/>
      <w:bookmarkEnd w:id="101"/>
      <w:bookmarkEnd w:id="102"/>
    </w:p>
    <w:p>
      <w:pPr>
        <w:widowControl w:val="0"/>
        <w:adjustRightInd w:val="0"/>
        <w:snapToGrid w:val="0"/>
        <w:spacing w:line="360" w:lineRule="auto"/>
        <w:ind w:firstLine="480"/>
      </w:pPr>
      <w:r>
        <w:rPr>
          <w:rFonts w:hint="eastAsia"/>
        </w:rPr>
        <w:t>2.15.1.1 成交供应商应在成交通知书发出之日</w:t>
      </w:r>
      <w:r>
        <w:rPr>
          <w:rFonts w:hint="eastAsia"/>
          <w:highlight w:val="none"/>
        </w:rPr>
        <w:t>起</w:t>
      </w:r>
      <w:r>
        <w:rPr>
          <w:rFonts w:hint="eastAsia"/>
          <w:color w:val="7030A0"/>
          <w:highlight w:val="none"/>
        </w:rPr>
        <w:t>十日内</w:t>
      </w:r>
      <w:r>
        <w:rPr>
          <w:rFonts w:hint="eastAsia"/>
          <w:highlight w:val="none"/>
        </w:rPr>
        <w:t>与</w:t>
      </w:r>
      <w:r>
        <w:rPr>
          <w:rFonts w:hint="eastAsia"/>
        </w:rPr>
        <w:t>采购人签订采购合同。由于成交供应商的原因逾期未与采购人签订采购合同的，将视为放弃成交，取消其成交资格并将按相关规定进行处理。</w:t>
      </w:r>
    </w:p>
    <w:p>
      <w:pPr>
        <w:widowControl w:val="0"/>
        <w:adjustRightInd w:val="0"/>
        <w:snapToGrid w:val="0"/>
        <w:spacing w:line="360" w:lineRule="auto"/>
        <w:ind w:firstLine="480"/>
        <w:rPr>
          <w:rFonts w:hint="eastAsia"/>
        </w:rPr>
      </w:pPr>
      <w:r>
        <w:rPr>
          <w:rFonts w:hint="eastAsia"/>
        </w:rPr>
        <w:t>2.15.1.2 磋商文件、成交供应商的响应文件及双方确认的澄清文件等，均为有法律约束力的合同组成部分。</w:t>
      </w:r>
    </w:p>
    <w:p>
      <w:pPr>
        <w:widowControl w:val="0"/>
        <w:adjustRightInd w:val="0"/>
        <w:snapToGrid w:val="0"/>
        <w:spacing w:line="360" w:lineRule="auto"/>
        <w:ind w:firstLine="480"/>
        <w:rPr>
          <w:rFonts w:hint="eastAsia"/>
        </w:rPr>
      </w:pPr>
      <w:r>
        <w:rPr>
          <w:rFonts w:hint="eastAsia"/>
        </w:rPr>
        <w:t>2.15.1.3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widowControl w:val="0"/>
        <w:adjustRightInd w:val="0"/>
        <w:snapToGrid w:val="0"/>
        <w:spacing w:line="360" w:lineRule="auto"/>
        <w:ind w:firstLine="480"/>
        <w:rPr>
          <w:rFonts w:hint="eastAsia"/>
        </w:rPr>
      </w:pPr>
      <w:r>
        <w:rPr>
          <w:rFonts w:hint="eastAsia"/>
        </w:rPr>
        <w:t>2.15.1.4 成交供应商因不可抗力原因不能履行采购合同或放弃成交的，采购人可以与排在成交供应商之后第一位的成交候选人签订采购合同，以此类推。</w:t>
      </w:r>
    </w:p>
    <w:p>
      <w:pPr>
        <w:widowControl w:val="0"/>
        <w:adjustRightInd w:val="0"/>
        <w:snapToGrid w:val="0"/>
        <w:spacing w:line="360" w:lineRule="auto"/>
        <w:ind w:firstLine="480"/>
      </w:pPr>
      <w:r>
        <w:rPr>
          <w:rFonts w:hint="eastAsia"/>
        </w:rPr>
        <w:t>2.15.1.5磋商文件、成交供应商提交的响应文件、磋商中的最后报价、成交供应商承诺书、成交通知书等均称为有法律约束力的合同组成内容。</w:t>
      </w:r>
    </w:p>
    <w:p>
      <w:pPr>
        <w:pStyle w:val="5"/>
        <w:keepNext w:val="0"/>
        <w:keepLines w:val="0"/>
        <w:adjustRightInd w:val="0"/>
        <w:snapToGrid w:val="0"/>
        <w:spacing w:line="460" w:lineRule="exact"/>
      </w:pPr>
      <w:bookmarkStart w:id="103" w:name="_Toc19283"/>
      <w:r>
        <w:rPr>
          <w:rFonts w:hint="eastAsia"/>
        </w:rPr>
        <w:t>2.15.2合同分包</w:t>
      </w:r>
      <w:bookmarkEnd w:id="103"/>
    </w:p>
    <w:p>
      <w:pPr>
        <w:widowControl w:val="0"/>
        <w:adjustRightInd w:val="0"/>
        <w:snapToGrid w:val="0"/>
        <w:spacing w:line="460" w:lineRule="exact"/>
        <w:ind w:firstLine="480"/>
        <w:rPr>
          <w:rFonts w:asciiTheme="minorEastAsia" w:hAnsiTheme="minorEastAsia" w:eastAsiaTheme="minorEastAsia" w:cstheme="minorEastAsia"/>
        </w:rPr>
      </w:pPr>
      <w:r>
        <w:rPr>
          <w:rFonts w:hint="eastAsia"/>
        </w:rPr>
        <w:t>本项目不允许分包。</w:t>
      </w:r>
    </w:p>
    <w:p>
      <w:pPr>
        <w:pStyle w:val="5"/>
        <w:keepNext w:val="0"/>
        <w:keepLines w:val="0"/>
        <w:adjustRightInd w:val="0"/>
        <w:snapToGrid w:val="0"/>
        <w:spacing w:line="460" w:lineRule="exact"/>
      </w:pPr>
      <w:bookmarkStart w:id="104" w:name="_Toc7480"/>
      <w:r>
        <w:rPr>
          <w:rFonts w:hint="eastAsia"/>
        </w:rPr>
        <w:t>2.15.3合同转包</w:t>
      </w:r>
      <w:bookmarkEnd w:id="104"/>
    </w:p>
    <w:p>
      <w:pPr>
        <w:widowControl w:val="0"/>
        <w:adjustRightInd w:val="0"/>
        <w:snapToGrid w:val="0"/>
        <w:spacing w:line="460" w:lineRule="exact"/>
        <w:ind w:firstLine="480"/>
      </w:pPr>
      <w:r>
        <w:rPr>
          <w:rFonts w:hint="eastAsia"/>
        </w:rPr>
        <w:t>2.15.3.1本项目不允许转包。</w:t>
      </w:r>
    </w:p>
    <w:p>
      <w:pPr>
        <w:widowControl w:val="0"/>
        <w:adjustRightInd w:val="0"/>
        <w:snapToGrid w:val="0"/>
        <w:spacing w:line="460" w:lineRule="exact"/>
        <w:ind w:firstLine="480"/>
      </w:pPr>
      <w:r>
        <w:rPr>
          <w:rFonts w:hint="eastAsia"/>
        </w:rPr>
        <w:t>2.15.3.2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widowControl w:val="0"/>
        <w:adjustRightInd w:val="0"/>
        <w:snapToGrid w:val="0"/>
        <w:spacing w:line="460" w:lineRule="exact"/>
        <w:ind w:firstLine="480"/>
      </w:pPr>
      <w:r>
        <w:rPr>
          <w:rFonts w:hint="eastAsia"/>
        </w:rPr>
        <w:t>2.15.3.3成交供应商转包的，视同拒绝履行采购合同义务，将依法追究法律责任。</w:t>
      </w:r>
    </w:p>
    <w:p>
      <w:pPr>
        <w:pStyle w:val="5"/>
        <w:keepNext w:val="0"/>
        <w:keepLines w:val="0"/>
        <w:adjustRightInd w:val="0"/>
        <w:snapToGrid w:val="0"/>
        <w:spacing w:line="460" w:lineRule="exact"/>
      </w:pPr>
      <w:bookmarkStart w:id="105" w:name="_Toc23873"/>
      <w:r>
        <w:rPr>
          <w:rFonts w:hint="eastAsia"/>
        </w:rPr>
        <w:t>2.15.4履约保证金</w:t>
      </w:r>
      <w:bookmarkEnd w:id="105"/>
    </w:p>
    <w:p>
      <w:pPr>
        <w:spacing w:line="460" w:lineRule="exact"/>
        <w:ind w:firstLine="480"/>
      </w:pPr>
      <w:r>
        <w:rPr>
          <w:rFonts w:hint="eastAsia"/>
        </w:rPr>
        <w:t xml:space="preserve">本项目无履约保证金。 </w:t>
      </w:r>
    </w:p>
    <w:p>
      <w:pPr>
        <w:pStyle w:val="5"/>
        <w:keepNext w:val="0"/>
        <w:keepLines w:val="0"/>
        <w:adjustRightInd w:val="0"/>
        <w:snapToGrid w:val="0"/>
        <w:spacing w:line="460" w:lineRule="exact"/>
      </w:pPr>
      <w:bookmarkStart w:id="106" w:name="_Toc13772"/>
      <w:r>
        <w:rPr>
          <w:rFonts w:hint="eastAsia"/>
        </w:rPr>
        <w:t>2.15.5资金支付</w:t>
      </w:r>
      <w:bookmarkEnd w:id="106"/>
    </w:p>
    <w:p>
      <w:pPr>
        <w:widowControl w:val="0"/>
        <w:adjustRightInd w:val="0"/>
        <w:snapToGrid w:val="0"/>
        <w:spacing w:line="460" w:lineRule="exact"/>
        <w:ind w:firstLine="480"/>
        <w:rPr>
          <w:rFonts w:asciiTheme="minorEastAsia" w:hAnsiTheme="minorEastAsia" w:eastAsiaTheme="minorEastAsia" w:cstheme="minorEastAsia"/>
        </w:rPr>
      </w:pPr>
      <w:r>
        <w:rPr>
          <w:rFonts w:hint="eastAsia"/>
        </w:rPr>
        <w:t>采购人将按照采购合同规定，及时向成交购资金。供应商支付采具体付款方式详见本磋商文件第3章。</w:t>
      </w:r>
    </w:p>
    <w:p>
      <w:pPr>
        <w:pStyle w:val="4"/>
        <w:keepNext w:val="0"/>
        <w:keepLines w:val="0"/>
        <w:adjustRightInd w:val="0"/>
        <w:snapToGrid w:val="0"/>
        <w:spacing w:line="460" w:lineRule="exact"/>
      </w:pPr>
      <w:bookmarkStart w:id="107" w:name="_Toc28010"/>
      <w:bookmarkStart w:id="108" w:name="_Toc28237"/>
      <w:r>
        <w:rPr>
          <w:rFonts w:hint="eastAsia"/>
        </w:rPr>
        <w:t>2.16供应商不得具有的情形</w:t>
      </w:r>
      <w:bookmarkEnd w:id="107"/>
      <w:bookmarkEnd w:id="108"/>
    </w:p>
    <w:p>
      <w:pPr>
        <w:widowControl w:val="0"/>
        <w:adjustRightInd w:val="0"/>
        <w:snapToGrid w:val="0"/>
        <w:spacing w:line="460" w:lineRule="exact"/>
        <w:ind w:firstLine="480"/>
      </w:pPr>
      <w:r>
        <w:rPr>
          <w:rFonts w:hint="eastAsia"/>
        </w:rPr>
        <w:t>供应商参加本项目磋商不得有下列情形：</w:t>
      </w:r>
    </w:p>
    <w:p>
      <w:pPr>
        <w:widowControl w:val="0"/>
        <w:adjustRightInd w:val="0"/>
        <w:snapToGrid w:val="0"/>
        <w:spacing w:line="460" w:lineRule="exact"/>
        <w:ind w:firstLine="480"/>
      </w:pPr>
      <w:r>
        <w:rPr>
          <w:rFonts w:hint="eastAsia"/>
        </w:rPr>
        <w:t>（1）提供虚假材料谋取成交；</w:t>
      </w:r>
    </w:p>
    <w:p>
      <w:pPr>
        <w:widowControl w:val="0"/>
        <w:adjustRightInd w:val="0"/>
        <w:snapToGrid w:val="0"/>
        <w:spacing w:line="460" w:lineRule="exact"/>
        <w:ind w:firstLine="480"/>
      </w:pPr>
      <w:r>
        <w:rPr>
          <w:rFonts w:hint="eastAsia"/>
        </w:rPr>
        <w:t>（2）采取不正当手段诋毁、排挤其他供应商；</w:t>
      </w:r>
    </w:p>
    <w:p>
      <w:pPr>
        <w:widowControl w:val="0"/>
        <w:adjustRightInd w:val="0"/>
        <w:snapToGrid w:val="0"/>
        <w:spacing w:line="460" w:lineRule="exact"/>
        <w:ind w:firstLine="480"/>
        <w:rPr>
          <w:rFonts w:hint="eastAsia"/>
        </w:rPr>
      </w:pPr>
      <w:r>
        <w:rPr>
          <w:rFonts w:hint="eastAsia"/>
        </w:rPr>
        <w:t>（3）与采购人、代理机构、或其他供应商恶意串通；</w:t>
      </w:r>
    </w:p>
    <w:p>
      <w:pPr>
        <w:widowControl w:val="0"/>
        <w:adjustRightInd w:val="0"/>
        <w:snapToGrid w:val="0"/>
        <w:spacing w:line="460" w:lineRule="exact"/>
        <w:ind w:firstLine="480"/>
        <w:rPr>
          <w:rFonts w:hint="eastAsia"/>
        </w:rPr>
      </w:pPr>
      <w:r>
        <w:rPr>
          <w:rFonts w:hint="eastAsia"/>
        </w:rPr>
        <w:t>（4）向采购人、代理机构、磋商小组成员行贿或者提供其他不正当利益；</w:t>
      </w:r>
    </w:p>
    <w:p>
      <w:pPr>
        <w:widowControl w:val="0"/>
        <w:adjustRightInd w:val="0"/>
        <w:snapToGrid w:val="0"/>
        <w:spacing w:line="460" w:lineRule="exact"/>
        <w:ind w:firstLine="480"/>
        <w:rPr>
          <w:rFonts w:hint="eastAsia"/>
        </w:rPr>
      </w:pPr>
      <w:r>
        <w:rPr>
          <w:rFonts w:hint="eastAsia"/>
        </w:rPr>
        <w:t>（5）在磋商过程中与采购人、代理机构进行协商；</w:t>
      </w:r>
    </w:p>
    <w:p>
      <w:pPr>
        <w:widowControl w:val="0"/>
        <w:adjustRightInd w:val="0"/>
        <w:snapToGrid w:val="0"/>
        <w:spacing w:line="460" w:lineRule="exact"/>
        <w:ind w:firstLine="480"/>
        <w:rPr>
          <w:rFonts w:hint="eastAsia"/>
        </w:rPr>
      </w:pPr>
      <w:r>
        <w:rPr>
          <w:rFonts w:hint="eastAsia"/>
        </w:rPr>
        <w:t>（6）成交后无正当理由拒不与采购人签订采购合同；</w:t>
      </w:r>
    </w:p>
    <w:p>
      <w:pPr>
        <w:widowControl w:val="0"/>
        <w:adjustRightInd w:val="0"/>
        <w:snapToGrid w:val="0"/>
        <w:spacing w:line="460" w:lineRule="exact"/>
        <w:ind w:firstLine="480"/>
        <w:rPr>
          <w:rFonts w:hint="eastAsia"/>
        </w:rPr>
      </w:pPr>
      <w:r>
        <w:rPr>
          <w:rFonts w:hint="eastAsia"/>
        </w:rPr>
        <w:t>（7）未按照磋商文件确定的事项签订采购合同；</w:t>
      </w:r>
    </w:p>
    <w:p>
      <w:pPr>
        <w:widowControl w:val="0"/>
        <w:adjustRightInd w:val="0"/>
        <w:snapToGrid w:val="0"/>
        <w:spacing w:line="460" w:lineRule="exact"/>
        <w:ind w:firstLine="480"/>
        <w:rPr>
          <w:rFonts w:hint="eastAsia"/>
        </w:rPr>
      </w:pPr>
      <w:r>
        <w:rPr>
          <w:rFonts w:hint="eastAsia"/>
        </w:rPr>
        <w:t>（8）将采购合同转包或者违规分包；</w:t>
      </w:r>
    </w:p>
    <w:p>
      <w:pPr>
        <w:widowControl w:val="0"/>
        <w:adjustRightInd w:val="0"/>
        <w:snapToGrid w:val="0"/>
        <w:spacing w:line="460" w:lineRule="exact"/>
        <w:ind w:firstLine="480"/>
        <w:rPr>
          <w:rFonts w:hint="eastAsia"/>
        </w:rPr>
      </w:pPr>
      <w:r>
        <w:rPr>
          <w:rFonts w:hint="eastAsia"/>
        </w:rPr>
        <w:t>（9）提供假冒伪劣产品；</w:t>
      </w:r>
    </w:p>
    <w:p>
      <w:pPr>
        <w:widowControl w:val="0"/>
        <w:adjustRightInd w:val="0"/>
        <w:snapToGrid w:val="0"/>
        <w:spacing w:line="460" w:lineRule="exact"/>
        <w:ind w:firstLine="480"/>
        <w:rPr>
          <w:rFonts w:hint="eastAsia"/>
        </w:rPr>
      </w:pPr>
      <w:r>
        <w:rPr>
          <w:rFonts w:hint="eastAsia"/>
        </w:rPr>
        <w:t>（10）擅自变更、中止或者终止采购合同；</w:t>
      </w:r>
    </w:p>
    <w:p>
      <w:pPr>
        <w:widowControl w:val="0"/>
        <w:adjustRightInd w:val="0"/>
        <w:snapToGrid w:val="0"/>
        <w:spacing w:line="460" w:lineRule="exact"/>
        <w:ind w:firstLine="480"/>
        <w:rPr>
          <w:rFonts w:hint="eastAsia"/>
        </w:rPr>
      </w:pPr>
      <w:r>
        <w:rPr>
          <w:rFonts w:hint="eastAsia"/>
        </w:rPr>
        <w:t>（11）拒绝有关部门的监督检查或者向监督检查部门提供虚假情况；</w:t>
      </w:r>
    </w:p>
    <w:p>
      <w:pPr>
        <w:widowControl w:val="0"/>
        <w:adjustRightInd w:val="0"/>
        <w:snapToGrid w:val="0"/>
        <w:spacing w:line="460" w:lineRule="exact"/>
        <w:ind w:firstLine="480"/>
        <w:rPr>
          <w:rFonts w:hint="eastAsia"/>
        </w:rPr>
      </w:pPr>
      <w:r>
        <w:rPr>
          <w:rFonts w:hint="eastAsia"/>
        </w:rPr>
        <w:t>（12）法律法规规定的其他情形。</w:t>
      </w:r>
    </w:p>
    <w:p>
      <w:pPr>
        <w:widowControl w:val="0"/>
        <w:adjustRightInd w:val="0"/>
        <w:snapToGrid w:val="0"/>
        <w:spacing w:line="460" w:lineRule="exact"/>
        <w:ind w:firstLine="480"/>
        <w:rPr>
          <w:rFonts w:hint="eastAsia"/>
        </w:rPr>
      </w:pPr>
      <w:r>
        <w:rPr>
          <w:rFonts w:hint="eastAsia"/>
        </w:rPr>
        <w:t>供应商有上述情形的，按照规定追究法律责任，具备（1）-（10）条情形之一的，同时将取消被确认为成交供应商的资格或者认定成交无效。</w:t>
      </w:r>
      <w:bookmarkStart w:id="109" w:name="_Toc11227"/>
      <w:bookmarkStart w:id="110" w:name="_Toc29068"/>
    </w:p>
    <w:p>
      <w:pPr>
        <w:widowControl w:val="0"/>
        <w:adjustRightInd w:val="0"/>
        <w:snapToGrid w:val="0"/>
        <w:spacing w:line="460" w:lineRule="exact"/>
        <w:ind w:left="0" w:leftChars="0" w:firstLine="0" w:firstLineChars="0"/>
        <w:rPr>
          <w:rFonts w:hint="eastAsia"/>
          <w:b/>
          <w:bCs/>
        </w:rPr>
      </w:pPr>
      <w:r>
        <w:rPr>
          <w:rFonts w:hint="eastAsia"/>
          <w:b/>
          <w:bCs/>
        </w:rPr>
        <w:t>2.17其他</w:t>
      </w:r>
      <w:bookmarkEnd w:id="109"/>
    </w:p>
    <w:p>
      <w:pPr>
        <w:widowControl w:val="0"/>
        <w:adjustRightInd w:val="0"/>
        <w:snapToGrid w:val="0"/>
        <w:spacing w:line="460" w:lineRule="exact"/>
        <w:ind w:firstLine="480"/>
      </w:pPr>
      <w:r>
        <w:rPr>
          <w:rFonts w:hint="eastAsia"/>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w:t>
      </w:r>
      <w:bookmarkEnd w:id="110"/>
      <w:bookmarkStart w:id="111" w:name="_Toc25627"/>
      <w:r>
        <w:rPr>
          <w:rFonts w:hint="eastAsia"/>
        </w:rPr>
        <w:t>律制度规定执行，本磋商文件不再做调整。</w:t>
      </w:r>
      <w:bookmarkEnd w:id="111"/>
      <w:bookmarkStart w:id="112" w:name="_Toc15939"/>
      <w:bookmarkStart w:id="113" w:name="_Toc4350"/>
      <w:bookmarkStart w:id="114" w:name="_Toc12309"/>
      <w:bookmarkStart w:id="115" w:name="_Toc20298"/>
      <w:bookmarkStart w:id="116" w:name="_Toc27160"/>
      <w:bookmarkStart w:id="117" w:name="_Toc27285"/>
      <w:bookmarkStart w:id="118" w:name="_Toc11697"/>
    </w:p>
    <w:p>
      <w:pPr>
        <w:ind w:firstLine="480"/>
      </w:pPr>
      <w:r>
        <w:rPr>
          <w:rFonts w:hint="eastAsia"/>
        </w:rPr>
        <w:br w:type="page"/>
      </w:r>
    </w:p>
    <w:p>
      <w:pPr>
        <w:pStyle w:val="3"/>
        <w:keepNext w:val="0"/>
        <w:keepLines w:val="0"/>
        <w:widowControl w:val="0"/>
        <w:numPr>
          <w:ilvl w:val="0"/>
          <w:numId w:val="0"/>
        </w:numPr>
        <w:adjustRightInd w:val="0"/>
        <w:snapToGrid w:val="0"/>
        <w:spacing w:line="480" w:lineRule="exact"/>
        <w:rPr>
          <w:rFonts w:asciiTheme="minorEastAsia" w:hAnsiTheme="minorEastAsia" w:eastAsiaTheme="minorEastAsia" w:cstheme="minorEastAsia"/>
          <w:color w:val="auto"/>
        </w:rPr>
      </w:pPr>
      <w:bookmarkStart w:id="119" w:name="_Toc8867"/>
      <w:r>
        <w:rPr>
          <w:rFonts w:hint="eastAsia" w:asciiTheme="minorEastAsia" w:hAnsiTheme="minorEastAsia" w:eastAsiaTheme="minorEastAsia" w:cstheme="minorEastAsia"/>
          <w:color w:val="auto"/>
        </w:rPr>
        <w:t>第3章 项目技术服务、商务及其他要求</w:t>
      </w:r>
      <w:bookmarkEnd w:id="112"/>
      <w:bookmarkEnd w:id="113"/>
      <w:bookmarkEnd w:id="114"/>
      <w:bookmarkEnd w:id="115"/>
      <w:bookmarkEnd w:id="116"/>
      <w:bookmarkEnd w:id="119"/>
      <w:bookmarkStart w:id="120" w:name="_Toc30149"/>
    </w:p>
    <w:p>
      <w:pPr>
        <w:pStyle w:val="4"/>
        <w:keepNext w:val="0"/>
        <w:keepLines w:val="0"/>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3.1项目概况</w:t>
      </w:r>
    </w:p>
    <w:p>
      <w:pPr>
        <w:numPr>
          <w:ilvl w:val="0"/>
          <w:numId w:val="0"/>
        </w:numPr>
        <w:adjustRightInd w:val="0"/>
        <w:spacing w:line="420" w:lineRule="exact"/>
        <w:ind w:leftChars="0" w:firstLine="480" w:firstLineChars="200"/>
        <w:textAlignment w:val="baseline"/>
        <w:rPr>
          <w:rFonts w:hint="eastAsia" w:eastAsia="宋体" w:asciiTheme="minorEastAsia" w:hAnsiTheme="minorEastAsia" w:cstheme="minorEastAsia"/>
          <w:color w:val="000000" w:themeColor="text1"/>
          <w:sz w:val="24"/>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0"/>
          <w:lang w:val="en-US" w:eastAsia="zh-CN" w:bidi="ar-SA"/>
          <w14:textFill>
            <w14:solidFill>
              <w14:schemeClr w14:val="tx1"/>
            </w14:solidFill>
          </w14:textFill>
        </w:rPr>
        <w:t>本项目为</w:t>
      </w:r>
      <w:r>
        <w:rPr>
          <w:rFonts w:hint="eastAsia" w:asciiTheme="minorEastAsia" w:hAnsiTheme="minorEastAsia" w:eastAsiaTheme="minorEastAsia" w:cstheme="minorEastAsia"/>
          <w:color w:val="auto"/>
          <w:sz w:val="24"/>
          <w:szCs w:val="20"/>
          <w:lang w:val="en-US" w:eastAsia="zh-CN" w:bidi="ar-SA"/>
        </w:rPr>
        <w:t>金牛区2020年四川省现代服务业集聚区现代服务业公共服务中心项目</w:t>
      </w:r>
      <w:r>
        <w:rPr>
          <w:rFonts w:hint="eastAsia" w:asciiTheme="minorEastAsia" w:hAnsiTheme="minorEastAsia" w:eastAsiaTheme="minorEastAsia" w:cstheme="minorEastAsia"/>
          <w:color w:val="000000" w:themeColor="text1"/>
          <w:sz w:val="24"/>
          <w:szCs w:val="20"/>
          <w:lang w:val="en-US" w:eastAsia="zh-CN" w:bidi="ar-SA"/>
          <w14:textFill>
            <w14:solidFill>
              <w14:schemeClr w14:val="tx1"/>
            </w14:solidFill>
          </w14:textFill>
        </w:rPr>
        <w:t>，共1个包件。</w:t>
      </w:r>
      <w:r>
        <w:rPr>
          <w:rFonts w:hint="eastAsia" w:ascii="宋体" w:hAnsi="宋体" w:eastAsia="宋体" w:cs="宋体"/>
          <w:color w:val="000000" w:themeColor="text1"/>
          <w:sz w:val="24"/>
          <w:szCs w:val="24"/>
          <w:lang w:eastAsia="zh-CN"/>
          <w14:textFill>
            <w14:solidFill>
              <w14:schemeClr w14:val="tx1"/>
            </w14:solidFill>
          </w14:textFill>
        </w:rPr>
        <w:t>预算金额：</w:t>
      </w:r>
      <w:r>
        <w:rPr>
          <w:rFonts w:hint="eastAsia" w:ascii="宋体" w:hAnsi="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eastAsia="zh-CN"/>
          <w14:textFill>
            <w14:solidFill>
              <w14:schemeClr w14:val="tx1"/>
            </w14:solidFill>
          </w14:textFill>
        </w:rPr>
        <w:t>万元</w:t>
      </w:r>
      <w:r>
        <w:rPr>
          <w:rFonts w:hint="eastAsia" w:cs="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lang w:val="en-US" w:eastAsia="zh-CN" w:bidi="ar-SA"/>
          <w14:textFill>
            <w14:solidFill>
              <w14:schemeClr w14:val="tx1"/>
            </w14:solidFill>
          </w14:textFill>
        </w:rPr>
        <w:t>最高限价为人民币29万元。</w:t>
      </w:r>
    </w:p>
    <w:p>
      <w:pPr>
        <w:pStyle w:val="4"/>
        <w:keepNext w:val="0"/>
        <w:keepLines w:val="0"/>
        <w:adjustRightInd w:val="0"/>
        <w:snapToGrid w:val="0"/>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3.2服务范围及内容</w:t>
      </w:r>
    </w:p>
    <w:p>
      <w:pPr>
        <w:keepNext w:val="0"/>
        <w:keepLines w:val="0"/>
        <w:tabs>
          <w:tab w:val="left" w:pos="426"/>
        </w:tabs>
        <w:adjustRightInd w:val="0"/>
        <w:snapToGrid w:val="0"/>
        <w:spacing w:line="480" w:lineRule="exact"/>
        <w:ind w:firstLine="480" w:firstLineChars="200"/>
        <w:outlineLvl w:val="9"/>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服务内容：</w:t>
      </w:r>
      <w:r>
        <w:rPr>
          <w:rFonts w:hint="eastAsia" w:asciiTheme="minorEastAsia" w:hAnsiTheme="minorEastAsia" w:eastAsiaTheme="minorEastAsia" w:cstheme="minorEastAsia"/>
          <w:b w:val="0"/>
          <w:bCs w:val="0"/>
          <w:highlight w:val="none"/>
        </w:rPr>
        <w:t>供应商应完成金牛区2020年四川省现代服务业集聚区</w:t>
      </w:r>
      <w:r>
        <w:rPr>
          <w:rFonts w:hint="eastAsia" w:asciiTheme="minorEastAsia" w:hAnsiTheme="minorEastAsia" w:eastAsiaTheme="minorEastAsia" w:cstheme="minorEastAsia"/>
          <w:color w:val="auto"/>
          <w:sz w:val="24"/>
          <w:szCs w:val="20"/>
          <w:lang w:val="en-US" w:eastAsia="zh-CN" w:bidi="ar-SA"/>
        </w:rPr>
        <w:t>现代服务业公共服务中心</w:t>
      </w:r>
      <w:r>
        <w:rPr>
          <w:rFonts w:hint="eastAsia" w:asciiTheme="minorEastAsia" w:hAnsiTheme="minorEastAsia" w:eastAsiaTheme="minorEastAsia" w:cstheme="minorEastAsia"/>
          <w:b w:val="0"/>
          <w:bCs w:val="0"/>
          <w:highlight w:val="none"/>
        </w:rPr>
        <w:t>装饰装修</w:t>
      </w:r>
      <w:r>
        <w:rPr>
          <w:rFonts w:hint="eastAsia" w:asciiTheme="minorEastAsia" w:hAnsiTheme="minorEastAsia" w:eastAsiaTheme="minorEastAsia" w:cstheme="minorEastAsia"/>
          <w:b w:val="0"/>
          <w:bCs w:val="0"/>
          <w:highlight w:val="none"/>
          <w:lang w:val="en-US" w:eastAsia="zh-CN"/>
        </w:rPr>
        <w:t>方案</w:t>
      </w:r>
      <w:r>
        <w:rPr>
          <w:rFonts w:hint="eastAsia" w:asciiTheme="minorEastAsia" w:hAnsiTheme="minorEastAsia" w:eastAsiaTheme="minorEastAsia" w:cstheme="minorEastAsia"/>
          <w:b w:val="0"/>
          <w:bCs w:val="0"/>
          <w:highlight w:val="none"/>
        </w:rPr>
        <w:t>设计</w:t>
      </w:r>
      <w:r>
        <w:rPr>
          <w:rFonts w:hint="eastAsia" w:asciiTheme="minorEastAsia" w:hAnsiTheme="minorEastAsia" w:eastAsiaTheme="minorEastAsia" w:cstheme="minorEastAsia"/>
          <w:b w:val="0"/>
          <w:bCs w:val="0"/>
          <w:highlight w:val="none"/>
          <w:lang w:val="en-US" w:eastAsia="zh-CN"/>
        </w:rPr>
        <w:t>和施工图设计等设计阶段的工作和其他按有关规定需要承担及配合的施工阶段后续服务工作。</w:t>
      </w:r>
    </w:p>
    <w:p>
      <w:pPr>
        <w:pStyle w:val="210"/>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outlineLvl w:val="9"/>
        <w:rPr>
          <w:rFonts w:hint="default"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服务设计</w:t>
      </w:r>
      <w:r>
        <w:rPr>
          <w:rFonts w:hint="eastAsia" w:asciiTheme="minorEastAsia" w:hAnsiTheme="minorEastAsia" w:eastAsiaTheme="minorEastAsia" w:cstheme="minorEastAsia"/>
          <w:b w:val="0"/>
          <w:bCs w:val="0"/>
          <w:highlight w:val="none"/>
        </w:rPr>
        <w:t>范围为：</w:t>
      </w:r>
      <w:r>
        <w:rPr>
          <w:rFonts w:hint="eastAsia" w:asciiTheme="minorEastAsia" w:hAnsiTheme="minorEastAsia" w:eastAsiaTheme="minorEastAsia" w:cstheme="minorEastAsia"/>
          <w:b w:val="0"/>
          <w:bCs w:val="0"/>
          <w:highlight w:val="none"/>
          <w:lang w:val="en-US" w:eastAsia="zh-CN"/>
        </w:rPr>
        <w:t>成都市金牛区花圃北路14号大楼</w:t>
      </w:r>
      <w:r>
        <w:rPr>
          <w:rFonts w:hint="eastAsia" w:asciiTheme="minorEastAsia" w:hAnsiTheme="minorEastAsia" w:eastAsiaTheme="minorEastAsia" w:cstheme="minorEastAsia"/>
          <w:b w:val="0"/>
          <w:bCs w:val="0"/>
          <w:highlight w:val="none"/>
        </w:rPr>
        <w:t>外部</w:t>
      </w:r>
      <w:r>
        <w:rPr>
          <w:rFonts w:hint="eastAsia" w:asciiTheme="minorEastAsia" w:hAnsiTheme="minorEastAsia" w:eastAsiaTheme="minorEastAsia" w:cstheme="minorEastAsia"/>
          <w:b w:val="0"/>
          <w:bCs w:val="0"/>
          <w:highlight w:val="none"/>
          <w:lang w:val="en-US" w:eastAsia="zh-CN"/>
        </w:rPr>
        <w:t>美化和楼内部分区域打造</w:t>
      </w:r>
      <w:r>
        <w:rPr>
          <w:rFonts w:hint="eastAsia" w:asciiTheme="minorEastAsia" w:hAnsiTheme="minorEastAsia" w:eastAsiaTheme="minorEastAsia" w:cstheme="minorEastAsia"/>
          <w:b w:val="0"/>
          <w:bCs w:val="0"/>
          <w:highlight w:val="none"/>
          <w:lang w:eastAsia="zh-CN"/>
        </w:rPr>
        <w:t>。</w:t>
      </w:r>
      <w:r>
        <w:rPr>
          <w:rFonts w:hint="eastAsia" w:asciiTheme="minorEastAsia" w:hAnsiTheme="minorEastAsia" w:eastAsiaTheme="minorEastAsia" w:cstheme="minorEastAsia"/>
          <w:b w:val="0"/>
          <w:bCs w:val="0"/>
          <w:highlight w:val="none"/>
          <w:lang w:val="en-US" w:eastAsia="zh-CN"/>
        </w:rPr>
        <w:t>楼内部分区域包括：</w:t>
      </w:r>
      <w:r>
        <w:rPr>
          <w:rFonts w:hint="eastAsia" w:asciiTheme="minorEastAsia" w:hAnsiTheme="minorEastAsia" w:eastAsiaTheme="minorEastAsia" w:cstheme="minorEastAsia"/>
          <w:b w:val="0"/>
          <w:bCs w:val="0"/>
          <w:sz w:val="24"/>
          <w:szCs w:val="24"/>
          <w:highlight w:val="none"/>
          <w:lang w:val="en-US" w:eastAsia="zh-CN" w:bidi="ar-SA"/>
        </w:rPr>
        <w:t>大厅入口处、一楼展厅、走廊及楼梯间展示区（1-6楼）、公共会议室（1-5层）、办公室、接待室、茶水间、杂物间、VR直播间、普通直播间、选品区、多功能会议室等。</w:t>
      </w:r>
    </w:p>
    <w:p>
      <w:pPr>
        <w:keepNext w:val="0"/>
        <w:keepLines w:val="0"/>
        <w:tabs>
          <w:tab w:val="left" w:pos="426"/>
        </w:tabs>
        <w:adjustRightInd w:val="0"/>
        <w:snapToGrid w:val="0"/>
        <w:spacing w:line="480" w:lineRule="exact"/>
        <w:ind w:firstLine="480" w:firstLineChars="200"/>
        <w:outlineLvl w:val="9"/>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设计</w:t>
      </w:r>
      <w:r>
        <w:rPr>
          <w:rFonts w:hint="eastAsia" w:asciiTheme="minorEastAsia" w:hAnsiTheme="minorEastAsia" w:eastAsiaTheme="minorEastAsia" w:cstheme="minorEastAsia"/>
          <w:b w:val="0"/>
          <w:bCs w:val="0"/>
          <w:highlight w:val="none"/>
        </w:rPr>
        <w:t>具体的平面示意图详见下图。</w:t>
      </w:r>
    </w:p>
    <w:p>
      <w:pPr>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8"/>
          <w:szCs w:val="21"/>
          <w:highlight w:val="none"/>
          <w:lang w:val="en-US" w:eastAsia="zh-CN"/>
          <w14:textFill>
            <w14:solidFill>
              <w14:schemeClr w14:val="tx1"/>
            </w14:solidFill>
          </w14:textFill>
        </w:rPr>
      </w:pPr>
      <w:r>
        <w:rPr>
          <w:rFonts w:hint="eastAsia"/>
          <w:highlight w:val="none"/>
          <w:lang w:eastAsia="zh-CN"/>
        </w:rPr>
        <w:drawing>
          <wp:anchor distT="0" distB="0" distL="114300" distR="114300" simplePos="0" relativeHeight="251659264" behindDoc="0" locked="0" layoutInCell="1" allowOverlap="1">
            <wp:simplePos x="0" y="0"/>
            <wp:positionH relativeFrom="column">
              <wp:posOffset>831850</wp:posOffset>
            </wp:positionH>
            <wp:positionV relativeFrom="paragraph">
              <wp:posOffset>-1080135</wp:posOffset>
            </wp:positionV>
            <wp:extent cx="3387090" cy="5725160"/>
            <wp:effectExtent l="0" t="0" r="0" b="3810"/>
            <wp:wrapSquare wrapText="bothSides"/>
            <wp:docPr id="2" name="图片 2" descr="85a70bb32134f83ceca9051ae753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a70bb32134f83ceca9051ae7530db"/>
                    <pic:cNvPicPr>
                      <a:picLocks noChangeAspect="1"/>
                    </pic:cNvPicPr>
                  </pic:nvPicPr>
                  <pic:blipFill>
                    <a:blip r:embed="rId14"/>
                    <a:srcRect l="8471" r="9602" b="2024"/>
                    <a:stretch>
                      <a:fillRect/>
                    </a:stretch>
                  </pic:blipFill>
                  <pic:spPr>
                    <a:xfrm rot="16200000">
                      <a:off x="0" y="0"/>
                      <a:ext cx="3387090" cy="5725160"/>
                    </a:xfrm>
                    <a:prstGeom prst="rect">
                      <a:avLst/>
                    </a:prstGeom>
                  </pic:spPr>
                </pic:pic>
              </a:graphicData>
            </a:graphic>
          </wp:anchor>
        </w:drawing>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1"/>
          <w:highlight w:val="none"/>
          <w:lang w:val="en-US" w:eastAsia="zh-CN"/>
          <w14:textFill>
            <w14:solidFill>
              <w14:schemeClr w14:val="tx1"/>
            </w14:solidFill>
          </w14:textFill>
        </w:rPr>
        <w:drawing>
          <wp:inline distT="0" distB="0" distL="114300" distR="114300">
            <wp:extent cx="5341620" cy="2647950"/>
            <wp:effectExtent l="0" t="0" r="5080" b="635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5"/>
                    <a:stretch>
                      <a:fillRect/>
                    </a:stretch>
                  </pic:blipFill>
                  <pic:spPr>
                    <a:xfrm>
                      <a:off x="0" y="0"/>
                      <a:ext cx="5341620" cy="2647950"/>
                    </a:xfrm>
                    <a:prstGeom prst="rect">
                      <a:avLst/>
                    </a:prstGeom>
                  </pic:spPr>
                </pic:pic>
              </a:graphicData>
            </a:graphic>
          </wp:inline>
        </w:drawing>
      </w:r>
      <w:r>
        <w:rPr>
          <w:rFonts w:hint="eastAsia" w:asciiTheme="minorEastAsia" w:hAnsiTheme="minorEastAsia" w:eastAsiaTheme="minorEastAsia" w:cstheme="minorEastAsia"/>
          <w:color w:val="000000" w:themeColor="text1"/>
          <w:sz w:val="28"/>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六楼服务面积约为630㎡</w:t>
      </w:r>
    </w:p>
    <w:p>
      <w:pPr>
        <w:pStyle w:val="4"/>
        <w:keepNext w:val="0"/>
        <w:keepLines w:val="0"/>
        <w:adjustRightInd w:val="0"/>
        <w:snapToGrid w:val="0"/>
        <w:spacing w:line="4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3.3技术、服务要求</w:t>
      </w:r>
    </w:p>
    <w:p>
      <w:pPr>
        <w:pStyle w:val="21"/>
        <w:autoSpaceDE/>
        <w:autoSpaceDN/>
        <w:snapToGrid w:val="0"/>
        <w:spacing w:line="460" w:lineRule="exact"/>
        <w:ind w:firstLine="0" w:firstLineChars="0"/>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3.3.1</w:t>
      </w:r>
      <w:r>
        <w:rPr>
          <w:rFonts w:hint="eastAsia" w:asciiTheme="minorEastAsia" w:hAnsiTheme="minorEastAsia" w:eastAsiaTheme="minorEastAsia" w:cstheme="minorEastAsia"/>
          <w:b/>
          <w:bCs/>
          <w:sz w:val="24"/>
          <w:szCs w:val="24"/>
          <w:highlight w:val="none"/>
          <w:lang w:val="en-US" w:eastAsia="zh-CN"/>
        </w:rPr>
        <w:t>总体</w:t>
      </w:r>
      <w:r>
        <w:rPr>
          <w:rFonts w:hint="eastAsia" w:asciiTheme="minorEastAsia" w:hAnsiTheme="minorEastAsia" w:eastAsiaTheme="minorEastAsia" w:cstheme="minorEastAsia"/>
          <w:b/>
          <w:bCs/>
          <w:sz w:val="24"/>
          <w:szCs w:val="24"/>
          <w:highlight w:val="none"/>
        </w:rPr>
        <w:t>要求</w:t>
      </w:r>
    </w:p>
    <w:p>
      <w:pPr>
        <w:pStyle w:val="21"/>
        <w:numPr>
          <w:ilvl w:val="0"/>
          <w:numId w:val="6"/>
        </w:numPr>
        <w:autoSpaceDE/>
        <w:autoSpaceDN/>
        <w:snapToGrid w:val="0"/>
        <w:spacing w:line="460" w:lineRule="exact"/>
        <w:ind w:firstLine="480" w:firstLineChars="200"/>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方案设计主题明确、特色鲜明，设计理念先进、突出主题，时代感强，记忆深刻；充分把直播基地的文化、艺术与新时代传媒进行融合；设计风格简洁大方，色彩调性符合行业属性。</w:t>
      </w:r>
    </w:p>
    <w:p>
      <w:pPr>
        <w:pStyle w:val="21"/>
        <w:numPr>
          <w:ilvl w:val="0"/>
          <w:numId w:val="6"/>
        </w:numPr>
        <w:autoSpaceDE/>
        <w:autoSpaceDN/>
        <w:snapToGrid w:val="0"/>
        <w:spacing w:line="460" w:lineRule="exact"/>
        <w:ind w:firstLine="480" w:firstLineChars="200"/>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在内容布局、实用性、功能性上充分融入直播基地的设计理念与科技艺术；</w:t>
      </w:r>
    </w:p>
    <w:p>
      <w:pPr>
        <w:pStyle w:val="21"/>
        <w:numPr>
          <w:ilvl w:val="0"/>
          <w:numId w:val="0"/>
        </w:numPr>
        <w:autoSpaceDE/>
        <w:autoSpaceDN/>
        <w:snapToGrid w:val="0"/>
        <w:spacing w:line="460" w:lineRule="exact"/>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充分考虑展陈、办公、其他功能分区的流线畅通、内容丰富；充分考虑直播间的公共空间和私域空间的划分。</w:t>
      </w:r>
    </w:p>
    <w:p>
      <w:pPr>
        <w:pStyle w:val="21"/>
        <w:numPr>
          <w:ilvl w:val="0"/>
          <w:numId w:val="6"/>
        </w:numPr>
        <w:autoSpaceDE/>
        <w:autoSpaceDN/>
        <w:snapToGrid w:val="0"/>
        <w:spacing w:line="460" w:lineRule="exact"/>
        <w:ind w:firstLine="480" w:firstLineChars="200"/>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施工图设计做到规范化、标准化、网络化；严格遵照国家有关规范制图，所有图面的表达方式均保持一致。</w:t>
      </w:r>
    </w:p>
    <w:p>
      <w:pPr>
        <w:pStyle w:val="21"/>
        <w:numPr>
          <w:ilvl w:val="0"/>
          <w:numId w:val="6"/>
        </w:numPr>
        <w:autoSpaceDE/>
        <w:autoSpaceDN/>
        <w:snapToGrid w:val="0"/>
        <w:spacing w:line="460" w:lineRule="exact"/>
        <w:ind w:firstLine="480" w:firstLineChars="200"/>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材料选择恰当，色彩选配考究，经济实用，避免铺张浪费，并且符合国家</w:t>
      </w:r>
    </w:p>
    <w:p>
      <w:pPr>
        <w:pStyle w:val="21"/>
        <w:numPr>
          <w:ilvl w:val="0"/>
          <w:numId w:val="0"/>
        </w:numPr>
        <w:autoSpaceDE/>
        <w:autoSpaceDN/>
        <w:snapToGrid w:val="0"/>
        <w:spacing w:line="460" w:lineRule="exact"/>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规范要求的优质材料。充分考虑材料的安全性、通用性、牢固性、美观性、标准化。采用合理有效的措施等尽可能降低能源消耗，体现节能观念，达到符合节能环保的要求；</w:t>
      </w:r>
    </w:p>
    <w:p>
      <w:pPr>
        <w:pStyle w:val="21"/>
        <w:numPr>
          <w:ilvl w:val="0"/>
          <w:numId w:val="6"/>
        </w:numPr>
        <w:autoSpaceDE/>
        <w:autoSpaceDN/>
        <w:snapToGrid w:val="0"/>
        <w:spacing w:line="460" w:lineRule="exact"/>
        <w:ind w:firstLine="480" w:firstLineChars="200"/>
        <w:outlineLvl w:val="9"/>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符合消防安全标准，保障现场的安全；</w:t>
      </w:r>
    </w:p>
    <w:p>
      <w:pPr>
        <w:pStyle w:val="21"/>
        <w:numPr>
          <w:ilvl w:val="0"/>
          <w:numId w:val="6"/>
        </w:numPr>
        <w:autoSpaceDE/>
        <w:autoSpaceDN/>
        <w:snapToGrid w:val="0"/>
        <w:spacing w:line="460" w:lineRule="exact"/>
        <w:ind w:firstLine="480" w:firstLineChars="200"/>
        <w:outlineLvl w:val="9"/>
        <w:rPr>
          <w:rFonts w:hint="eastAsia"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设计应坚持节约资源、确保安全、提高质量、利于运行和降低造价的原则，并进行全面细致的方</w:t>
      </w:r>
      <w:r>
        <w:rPr>
          <w:rFonts w:hint="eastAsia" w:hAnsi="宋体"/>
          <w:color w:val="000000" w:themeColor="text1"/>
          <w:sz w:val="24"/>
          <w:szCs w:val="24"/>
          <w:highlight w:val="none"/>
          <w14:textFill>
            <w14:solidFill>
              <w14:schemeClr w14:val="tx1"/>
            </w14:solidFill>
          </w14:textFill>
        </w:rPr>
        <w:t>案编制，确保最终设计结果的经济性及合理性。</w:t>
      </w:r>
    </w:p>
    <w:p>
      <w:pPr>
        <w:pStyle w:val="21"/>
        <w:widowControl w:val="0"/>
        <w:numPr>
          <w:ilvl w:val="0"/>
          <w:numId w:val="0"/>
        </w:numPr>
        <w:tabs>
          <w:tab w:val="left" w:pos="312"/>
        </w:tabs>
        <w:autoSpaceDE/>
        <w:autoSpaceDN/>
        <w:adjustRightInd w:val="0"/>
        <w:snapToGrid w:val="0"/>
        <w:spacing w:line="460" w:lineRule="exact"/>
        <w:jc w:val="both"/>
        <w:outlineLvl w:val="2"/>
        <w:rPr>
          <w:rFonts w:hint="default" w:hAnsi="宋体"/>
          <w:b/>
          <w:bCs/>
          <w:color w:val="auto"/>
          <w:sz w:val="24"/>
          <w:szCs w:val="24"/>
          <w:highlight w:val="none"/>
          <w:lang w:val="en-US" w:eastAsia="zh-CN"/>
        </w:rPr>
      </w:pPr>
      <w:r>
        <w:rPr>
          <w:rFonts w:hint="eastAsia" w:hAnsi="宋体"/>
          <w:b/>
          <w:bCs/>
          <w:color w:val="auto"/>
          <w:sz w:val="24"/>
          <w:szCs w:val="24"/>
          <w:highlight w:val="none"/>
          <w:lang w:val="en-US" w:eastAsia="zh-CN"/>
        </w:rPr>
        <w:t>3.3.2设计具体要求</w:t>
      </w:r>
    </w:p>
    <w:p>
      <w:pPr>
        <w:pStyle w:val="21"/>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Theme="minorEastAsia" w:hAnsiTheme="minorEastAsia" w:eastAsiaTheme="minorEastAsia" w:cstheme="minorEastAsia"/>
          <w:b/>
          <w:bCs/>
          <w:sz w:val="24"/>
          <w:szCs w:val="24"/>
          <w:highlight w:val="none"/>
          <w:lang w:val="en-US" w:eastAsia="zh-CN" w:bidi="ar-SA"/>
        </w:rPr>
      </w:pPr>
      <w:r>
        <w:rPr>
          <w:rFonts w:hint="eastAsia" w:hAnsi="宋体"/>
          <w:b/>
          <w:bCs/>
          <w:color w:val="auto"/>
          <w:sz w:val="24"/>
          <w:szCs w:val="24"/>
          <w:highlight w:val="none"/>
          <w:lang w:val="en-US" w:eastAsia="zh-CN"/>
        </w:rPr>
        <w:t>1.</w:t>
      </w:r>
      <w:r>
        <w:rPr>
          <w:rFonts w:hint="eastAsia" w:asciiTheme="minorEastAsia" w:hAnsiTheme="minorEastAsia" w:eastAsiaTheme="minorEastAsia" w:cstheme="minorEastAsia"/>
          <w:b/>
          <w:bCs/>
          <w:sz w:val="24"/>
          <w:szCs w:val="24"/>
          <w:highlight w:val="none"/>
          <w:lang w:val="en-US" w:eastAsia="zh-CN" w:bidi="ar-SA"/>
        </w:rPr>
        <w:t>方案设计</w:t>
      </w:r>
    </w:p>
    <w:p>
      <w:pPr>
        <w:pStyle w:val="21"/>
        <w:keepNext w:val="0"/>
        <w:keepLines w:val="0"/>
        <w:pageBreakBefore w:val="0"/>
        <w:numPr>
          <w:ilvl w:val="0"/>
          <w:numId w:val="0"/>
        </w:numPr>
        <w:kinsoku/>
        <w:wordWrap/>
        <w:overflowPunct/>
        <w:topLinePunct w:val="0"/>
        <w:autoSpaceDE/>
        <w:autoSpaceDN/>
        <w:bidi w:val="0"/>
        <w:adjustRightInd w:val="0"/>
        <w:snapToGrid w:val="0"/>
        <w:spacing w:line="360" w:lineRule="auto"/>
        <w:ind w:left="480" w:leftChars="200" w:firstLine="0" w:firstLineChars="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（1）大楼外部</w:t>
      </w:r>
    </w:p>
    <w:p>
      <w:pPr>
        <w:pStyle w:val="21"/>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①大楼外立面美化；面积以现场实际情况为准。</w:t>
      </w:r>
    </w:p>
    <w:p>
      <w:pPr>
        <w:pStyle w:val="21"/>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②要求：具有强烈的行业特性、独特的建筑辨识感，应包含外立面人物小品打造，美工字体、LOGO等造型；</w:t>
      </w:r>
    </w:p>
    <w:p>
      <w:pPr>
        <w:pStyle w:val="21"/>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（2）大厅入口处</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①面积约为104平方米；</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②形象要求：造型感强，独立、突破传统，通过装饰手法解决空间死间，主入口形象增大展示面，背景足够抢眼，放开前厅空间。</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③功能要求：应包含文化墙、形象墙、主题雕塑、P2LED拼接屏、单色屏等。</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（3）一楼展厅</w:t>
      </w:r>
    </w:p>
    <w:p>
      <w:pPr>
        <w:pStyle w:val="210"/>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①面积约为20平方米；</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②形象要求：应选用自然素材、突出简约洁净感</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③功能要求：应包含领导关怀、团队介绍及产品展示，形式采用多媒体结合图文展板；</w:t>
      </w:r>
    </w:p>
    <w:p>
      <w:pPr>
        <w:pStyle w:val="210"/>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（4）走廊及楼梯间展示区（1-6楼）</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①一楼楼梯间；面积以现场实际情况为准。</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②要求：打造枯山水艺术景观，通过装饰手法解决空间死间。墙面采用装饰画或超薄灯箱组合排列展示相关内容、图片。满足安全、适用、环保、经济、美观等要求。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①二-六楼梯间；</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②要求：打造楼道文化。墙面采用装饰画、展板、美工字体等形式组合展示相关内容。满足安全、适用、环保、经济、美观等要求。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（5）公共会议室（1-5层）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①各层公共会议室；面积约为30㎡。</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②要求：打造枯山水艺术景观，通过装饰手法解决空间死间。墙面采用装饰画或超薄灯箱组合排列展示相关内容、图片。满足安全、适用、环保、经济、美观等要求。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（6）办公室</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①办公室；面积为20.4㎡。</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②要求：满足3人日常办公需求，考虑办公电器的强、弱电隐藏式布置，办公室墙面装饰应简洁、美观。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（7）接待室</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①接待室；面积为20.55㎡。</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②要求：满足日常接待需求，接待桌为茶台，墙面装饰应以偏新中式风为主。</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（8）茶水间</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①六层茶水间；面积为3㎡。</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②要求：配备饮水机、微波炉、咖啡机，茶水桌椅，满足员工休闲、用餐需求。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（9）杂物间</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①六层杂物间；面积为29.82㎡。</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②要求：满足隐蔽、安全要求。</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（10）VR直播间、普通直播间</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①共四间，单个面积约为20㎡；</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②设计要求：了解直播需求，结合主播特点，营造有创意，有温度，简单舒适的环境。商品的配色匹配直播间形成整体，让直播间呈现出整体、谐调、舒适的心理感受，并传达给消费者正向的心智认知；</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（11）选品区</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①面积约为150㎡；</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②设计要求：吸引人气，依设计创意为导向，延长参观者在此停留的时间，且对产品有更深入的认知。</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（12）多功能会议室</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①面积约为195㎡；</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②设计要求：需满足100人左右的使用要求，集洽谈、培训、接待、组织活动等诸多功能为一体，打造自由个性的会议空间，让整个空间既舒适又有序。</w:t>
      </w:r>
    </w:p>
    <w:p>
      <w:pPr>
        <w:pStyle w:val="210"/>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公共活动区</w:t>
      </w:r>
    </w:p>
    <w:p>
      <w:pPr>
        <w:pStyle w:val="2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textAlignment w:val="auto"/>
        <w:outlineLvl w:val="9"/>
        <w:rPr>
          <w:rFonts w:hint="eastAsia" w:asciiTheme="minorEastAsia" w:hAnsiTheme="minorEastAsia" w:eastAsiaTheme="minorEastAsia" w:cstheme="minorEastAsia"/>
          <w:b w:val="0"/>
          <w:bCs w:val="0"/>
          <w:sz w:val="24"/>
          <w:szCs w:val="24"/>
          <w:highlight w:val="yellow"/>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①面积以现场实际情况为准；</w:t>
      </w:r>
    </w:p>
    <w:p>
      <w:pPr>
        <w:pStyle w:val="2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textAlignment w:val="auto"/>
        <w:outlineLvl w:val="9"/>
        <w:rPr>
          <w:rFonts w:hint="default" w:asciiTheme="minorEastAsia" w:hAnsiTheme="minorEastAsia" w:eastAsiaTheme="minorEastAsia" w:cstheme="minorEastAsia"/>
          <w:b w:val="0"/>
          <w:bCs w:val="0"/>
          <w:sz w:val="24"/>
          <w:szCs w:val="24"/>
          <w:highlight w:val="yellow"/>
          <w:lang w:val="en-US" w:eastAsia="zh-CN" w:bidi="ar-SA"/>
        </w:rPr>
      </w:pPr>
      <w:r>
        <w:rPr>
          <w:rFonts w:hint="eastAsia" w:asciiTheme="minorEastAsia" w:hAnsiTheme="minorEastAsia" w:eastAsiaTheme="minorEastAsia" w:cstheme="minorEastAsia"/>
          <w:b w:val="0"/>
          <w:bCs w:val="0"/>
          <w:sz w:val="24"/>
          <w:szCs w:val="24"/>
          <w:highlight w:val="none"/>
          <w:lang w:val="en-US" w:eastAsia="zh-CN" w:bidi="ar-SA"/>
        </w:rPr>
        <w:t>②设计要求：整体设计美观大气，符合直播基地系列风格。</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b/>
          <w:bCs/>
          <w:highlight w:val="none"/>
          <w:lang w:val="en-US" w:eastAsia="zh-CN"/>
        </w:rPr>
      </w:pPr>
      <w:r>
        <w:rPr>
          <w:rFonts w:hint="eastAsia" w:asciiTheme="minorEastAsia" w:hAnsiTheme="minorEastAsia" w:eastAsiaTheme="minorEastAsia" w:cstheme="minorEastAsia"/>
          <w:b/>
          <w:bCs/>
          <w:sz w:val="24"/>
          <w:szCs w:val="24"/>
          <w:highlight w:val="none"/>
          <w:lang w:val="en-US" w:eastAsia="zh-CN" w:bidi="ar-SA"/>
        </w:rPr>
        <w:t>2.施工图设计</w:t>
      </w:r>
      <w:r>
        <w:rPr>
          <w:rFonts w:hint="eastAsia"/>
          <w:b/>
          <w:bCs/>
          <w:highlight w:val="none"/>
          <w:lang w:val="en-US" w:eastAsia="zh-CN"/>
        </w:rPr>
        <w:t xml:space="preserve"> </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highlight w:val="none"/>
          <w:lang w:val="en-US" w:eastAsia="zh-CN"/>
        </w:rPr>
      </w:pPr>
      <w:r>
        <w:rPr>
          <w:rFonts w:hint="eastAsia"/>
          <w:highlight w:val="none"/>
          <w:lang w:val="en-US" w:eastAsia="zh-CN"/>
        </w:rPr>
        <w:t>(1)设计应符合环保、安全、科学、节能等要求等有关规定。</w:t>
      </w:r>
    </w:p>
    <w:p>
      <w:pPr>
        <w:pStyle w:val="2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highlight w:val="none"/>
          <w:lang w:val="en-US" w:eastAsia="zh-CN"/>
        </w:rPr>
      </w:pPr>
      <w:r>
        <w:rPr>
          <w:rFonts w:hint="eastAsia"/>
          <w:highlight w:val="none"/>
          <w:lang w:val="en-US" w:eastAsia="zh-CN"/>
        </w:rPr>
        <w:t>(2)设计深度必须满足施工要求，所选用材料的品种、规格、性能应符合设计的要求及国家现行有关标准的要求，严禁使用国家淘汰的材料。</w:t>
      </w:r>
    </w:p>
    <w:p>
      <w:pPr>
        <w:pStyle w:val="210"/>
        <w:adjustRightInd w:val="0"/>
        <w:snapToGrid w:val="0"/>
        <w:spacing w:line="360" w:lineRule="auto"/>
        <w:ind w:left="0" w:leftChars="0" w:firstLine="480" w:firstLineChars="200"/>
        <w:outlineLvl w:val="9"/>
        <w:rPr>
          <w:rFonts w:hint="eastAsia"/>
          <w:highlight w:val="none"/>
          <w:lang w:val="en-US" w:eastAsia="zh-CN"/>
        </w:rPr>
      </w:pPr>
      <w:r>
        <w:rPr>
          <w:rFonts w:hint="eastAsia"/>
          <w:highlight w:val="none"/>
          <w:lang w:val="en-US" w:eastAsia="zh-CN"/>
        </w:rPr>
        <w:t>(3)设计必须保证建筑物的结构安全和主要使用功能。</w:t>
      </w:r>
    </w:p>
    <w:p>
      <w:pPr>
        <w:pStyle w:val="210"/>
        <w:adjustRightInd w:val="0"/>
        <w:snapToGrid w:val="0"/>
        <w:spacing w:line="360" w:lineRule="auto"/>
        <w:ind w:left="0" w:leftChars="0" w:firstLine="480" w:firstLineChars="200"/>
        <w:outlineLvl w:val="9"/>
        <w:rPr>
          <w:rFonts w:hint="eastAsia"/>
          <w:highlight w:val="none"/>
          <w:lang w:val="en-US" w:eastAsia="zh-CN"/>
        </w:rPr>
      </w:pPr>
      <w:r>
        <w:rPr>
          <w:rFonts w:hint="eastAsia"/>
          <w:highlight w:val="none"/>
          <w:lang w:val="en-US" w:eastAsia="zh-CN"/>
        </w:rPr>
        <w:t>(4)施工图的设计深度必须满足：</w:t>
      </w:r>
    </w:p>
    <w:p>
      <w:pPr>
        <w:pStyle w:val="210"/>
        <w:adjustRightInd w:val="0"/>
        <w:snapToGrid w:val="0"/>
        <w:spacing w:line="360" w:lineRule="auto"/>
        <w:ind w:left="0" w:leftChars="0" w:firstLine="480" w:firstLineChars="200"/>
        <w:outlineLvl w:val="9"/>
        <w:rPr>
          <w:rFonts w:hint="eastAsia"/>
          <w:highlight w:val="none"/>
          <w:lang w:val="en-US" w:eastAsia="zh-CN"/>
        </w:rPr>
      </w:pPr>
      <w:r>
        <w:rPr>
          <w:rFonts w:hint="eastAsia"/>
          <w:highlight w:val="none"/>
          <w:lang w:val="en-US" w:eastAsia="zh-CN"/>
        </w:rPr>
        <w:t>①应能编制工程概、预算和作为工程施工招标（清单报价）的依据；</w:t>
      </w:r>
    </w:p>
    <w:p>
      <w:pPr>
        <w:pStyle w:val="210"/>
        <w:adjustRightInd w:val="0"/>
        <w:snapToGrid w:val="0"/>
        <w:spacing w:line="360" w:lineRule="auto"/>
        <w:ind w:left="0" w:leftChars="0" w:firstLine="480" w:firstLineChars="200"/>
        <w:outlineLvl w:val="9"/>
        <w:rPr>
          <w:rFonts w:hint="eastAsia"/>
          <w:highlight w:val="none"/>
          <w:lang w:val="en-US" w:eastAsia="zh-CN"/>
        </w:rPr>
      </w:pPr>
      <w:r>
        <w:rPr>
          <w:rFonts w:hint="eastAsia"/>
          <w:highlight w:val="none"/>
          <w:lang w:val="en-US" w:eastAsia="zh-CN"/>
        </w:rPr>
        <w:t>②应能据以安排设备、材料订货和非标准设备的制作；</w:t>
      </w:r>
    </w:p>
    <w:p>
      <w:pPr>
        <w:pStyle w:val="210"/>
        <w:adjustRightInd w:val="0"/>
        <w:snapToGrid w:val="0"/>
        <w:spacing w:line="360" w:lineRule="auto"/>
        <w:ind w:left="0" w:leftChars="0" w:firstLine="480" w:firstLineChars="200"/>
        <w:outlineLvl w:val="9"/>
        <w:rPr>
          <w:rFonts w:hint="eastAsia"/>
          <w:highlight w:val="none"/>
          <w:lang w:val="en-US" w:eastAsia="zh-CN"/>
        </w:rPr>
      </w:pPr>
      <w:r>
        <w:rPr>
          <w:rFonts w:hint="eastAsia"/>
          <w:highlight w:val="none"/>
          <w:lang w:val="en-US" w:eastAsia="zh-CN"/>
        </w:rPr>
        <w:t>③应能据以进行施工和安装；</w:t>
      </w:r>
    </w:p>
    <w:p>
      <w:pPr>
        <w:pStyle w:val="210"/>
        <w:adjustRightInd w:val="0"/>
        <w:snapToGrid w:val="0"/>
        <w:spacing w:line="360" w:lineRule="auto"/>
        <w:ind w:left="0" w:leftChars="0" w:firstLine="480" w:firstLineChars="200"/>
        <w:outlineLvl w:val="9"/>
        <w:rPr>
          <w:rFonts w:hint="eastAsia"/>
          <w:highlight w:val="yellow"/>
          <w:lang w:val="en-US" w:eastAsia="zh-CN"/>
        </w:rPr>
      </w:pPr>
      <w:r>
        <w:rPr>
          <w:rFonts w:hint="eastAsia"/>
          <w:highlight w:val="none"/>
          <w:lang w:val="en-US" w:eastAsia="zh-CN"/>
        </w:rPr>
        <w:t>④应能据以施工验收。</w:t>
      </w:r>
    </w:p>
    <w:p>
      <w:pPr>
        <w:pStyle w:val="210"/>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2"/>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3.3.3人员要求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（1）设计负责人：1名（室内设计或艺术设计等相关专业），提供身份证、学历证书（或职称证）复印件，并加盖单位鲜章；</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（2）主创设计师：1名（环境设计或室内设计等相关专业），提供身份证、学历证书（或职称证）复印件，并加盖单位鲜章。</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（3）助理设计师：1名（环境设计或室内设计等相关专业），提供身份证、学历证书（或职称证）复印件，并加盖单位鲜章。</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说明：上述人员未经采购人同意不得随意更换。</w:t>
      </w:r>
    </w:p>
    <w:p>
      <w:pPr>
        <w:widowControl w:val="0"/>
        <w:adjustRightInd w:val="0"/>
        <w:snapToGrid w:val="0"/>
        <w:spacing w:line="460" w:lineRule="exact"/>
        <w:ind w:left="0" w:leftChars="0" w:firstLine="0" w:firstLineChars="0"/>
        <w:outlineLvl w:val="2"/>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bCs/>
          <w:color w:val="auto"/>
          <w:sz w:val="24"/>
          <w:szCs w:val="24"/>
          <w:highlight w:val="none"/>
        </w:rPr>
        <w:t>3.3.</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成果</w:t>
      </w:r>
      <w:r>
        <w:rPr>
          <w:rFonts w:hint="eastAsia" w:asciiTheme="minorEastAsia" w:hAnsiTheme="minorEastAsia" w:eastAsiaTheme="minorEastAsia" w:cstheme="minorEastAsia"/>
          <w:b/>
          <w:bCs/>
          <w:color w:val="auto"/>
          <w:sz w:val="24"/>
          <w:szCs w:val="24"/>
          <w:highlight w:val="none"/>
          <w:lang w:val="en-US" w:eastAsia="zh-CN"/>
        </w:rPr>
        <w:t>文件</w:t>
      </w:r>
      <w:r>
        <w:rPr>
          <w:rFonts w:hint="eastAsia" w:asciiTheme="minorEastAsia" w:hAnsiTheme="minorEastAsia" w:eastAsiaTheme="minorEastAsia" w:cstheme="minorEastAsia"/>
          <w:b/>
          <w:szCs w:val="22"/>
        </w:rPr>
        <w:t>要求</w:t>
      </w:r>
    </w:p>
    <w:p>
      <w:pPr>
        <w:widowControl w:val="0"/>
        <w:adjustRightInd w:val="0"/>
        <w:snapToGrid w:val="0"/>
        <w:spacing w:line="460" w:lineRule="exact"/>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3.3.4.1投标阶段须提供：</w:t>
      </w:r>
    </w:p>
    <w:p>
      <w:pPr>
        <w:widowControl w:val="0"/>
        <w:adjustRightInd w:val="0"/>
        <w:snapToGrid w:val="0"/>
        <w:spacing w:line="460" w:lineRule="exact"/>
        <w:ind w:left="0" w:leftChars="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1、成果形式及数量：方案设计文本图册纸质版（A</w:t>
      </w:r>
      <w:r>
        <w:rPr>
          <w:rFonts w:hint="eastAsia"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格式）</w:t>
      </w:r>
      <w:r>
        <w:rPr>
          <w:rFonts w:hint="eastAsia"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份（正本一份，副本</w:t>
      </w:r>
      <w:r>
        <w:rPr>
          <w:rFonts w:hint="eastAsia"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lang w:val="en-US" w:eastAsia="zh-CN"/>
          <w14:textFill>
            <w14:solidFill>
              <w14:schemeClr w14:val="tx1"/>
            </w14:solidFill>
          </w14:textFill>
        </w:rPr>
        <w:t>份）</w:t>
      </w:r>
      <w:r>
        <w:rPr>
          <w:rFonts w:hint="eastAsia"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szCs w:val="21"/>
          <w:lang w:val="en-US" w:eastAsia="zh-CN" w:bidi="ar-SA"/>
          <w14:textFill>
            <w14:solidFill>
              <w14:schemeClr w14:val="tx1"/>
            </w14:solidFill>
          </w14:textFill>
        </w:rPr>
        <w:t xml:space="preserve">电子文档（光盘）1份。 </w:t>
      </w:r>
    </w:p>
    <w:p>
      <w:pPr>
        <w:pStyle w:val="21"/>
        <w:autoSpaceDE/>
        <w:autoSpaceDN/>
        <w:snapToGrid w:val="0"/>
        <w:spacing w:line="460" w:lineRule="exact"/>
        <w:ind w:firstLine="480" w:firstLineChars="200"/>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2、包括但不限于以下内容：</w:t>
      </w:r>
      <w:r>
        <w:rPr>
          <w:rFonts w:hint="eastAsia" w:hAnsi="宋体" w:cs="宋体"/>
          <w:color w:val="000000" w:themeColor="text1"/>
          <w:sz w:val="24"/>
          <w:lang w:val="en-US" w:eastAsia="zh-CN"/>
          <w14:textFill>
            <w14:solidFill>
              <w14:schemeClr w14:val="tx1"/>
            </w14:solidFill>
          </w14:textFill>
        </w:rPr>
        <w:t>设计说明、</w:t>
      </w:r>
      <w:r>
        <w:rPr>
          <w:rFonts w:hint="eastAsia" w:ascii="宋体" w:hAnsi="宋体" w:eastAsia="宋体" w:cs="宋体"/>
          <w:color w:val="000000" w:themeColor="text1"/>
          <w:sz w:val="24"/>
          <w:lang w:val="en-US" w:eastAsia="zh-CN"/>
          <w14:textFill>
            <w14:solidFill>
              <w14:schemeClr w14:val="tx1"/>
            </w14:solidFill>
          </w14:textFill>
        </w:rPr>
        <w:t>平面图、</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轴测图、</w:t>
      </w:r>
      <w:r>
        <w:rPr>
          <w:rFonts w:hint="eastAsia" w:ascii="宋体" w:hAnsi="宋体" w:eastAsia="宋体" w:cs="宋体"/>
          <w:color w:val="000000" w:themeColor="text1"/>
          <w:sz w:val="24"/>
          <w:lang w:val="en-US" w:eastAsia="zh-CN"/>
          <w14:textFill>
            <w14:solidFill>
              <w14:schemeClr w14:val="tx1"/>
            </w14:solidFill>
          </w14:textFill>
        </w:rPr>
        <w:t>效果图</w:t>
      </w:r>
      <w:r>
        <w:rPr>
          <w:rFonts w:hint="eastAsia" w:hAnsi="宋体" w:cs="宋体"/>
          <w:color w:val="000000" w:themeColor="text1"/>
          <w:sz w:val="24"/>
          <w:lang w:val="en-US" w:eastAsia="zh-CN"/>
          <w14:textFill>
            <w14:solidFill>
              <w14:schemeClr w14:val="tx1"/>
            </w14:solidFill>
          </w14:textFill>
        </w:rPr>
        <w:t>。</w:t>
      </w:r>
    </w:p>
    <w:p>
      <w:pPr>
        <w:widowControl w:val="0"/>
        <w:adjustRightInd w:val="0"/>
        <w:snapToGrid w:val="0"/>
        <w:spacing w:line="460" w:lineRule="exact"/>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3.3.4.2成交后须提供：</w:t>
      </w:r>
    </w:p>
    <w:p>
      <w:pPr>
        <w:widowControl w:val="0"/>
        <w:adjustRightInd w:val="0"/>
        <w:snapToGrid w:val="0"/>
        <w:spacing w:line="460" w:lineRule="exact"/>
        <w:ind w:left="0" w:leftChars="0" w:firstLine="480" w:firstLineChars="200"/>
        <w:rPr>
          <w:rFonts w:hint="eastAsia" w:ascii="宋体" w:hAnsi="宋体" w:eastAsia="宋体" w:cs="宋体"/>
          <w:color w:val="000000" w:themeColor="text1"/>
          <w:sz w:val="24"/>
          <w:szCs w:val="21"/>
          <w:lang w:val="en-US" w:eastAsia="zh-CN" w:bidi="ar-SA"/>
          <w14:textFill>
            <w14:solidFill>
              <w14:schemeClr w14:val="tx1"/>
            </w14:solidFill>
          </w14:textFill>
        </w:rPr>
      </w:pPr>
      <w:r>
        <w:rPr>
          <w:rFonts w:hint="eastAsia" w:ascii="宋体" w:hAnsi="宋体" w:eastAsia="宋体" w:cs="宋体"/>
          <w:color w:val="000000" w:themeColor="text1"/>
          <w:sz w:val="24"/>
          <w:szCs w:val="21"/>
          <w:lang w:val="en-US" w:eastAsia="zh-CN" w:bidi="ar-SA"/>
          <w14:textFill>
            <w14:solidFill>
              <w14:schemeClr w14:val="tx1"/>
            </w14:solidFill>
          </w14:textFill>
        </w:rPr>
        <w:t>1、成果形式及数量：施工</w:t>
      </w:r>
      <w:r>
        <w:rPr>
          <w:rFonts w:hint="eastAsia" w:cs="宋体"/>
          <w:color w:val="000000" w:themeColor="text1"/>
          <w:sz w:val="24"/>
          <w:szCs w:val="21"/>
          <w:lang w:val="en-US" w:eastAsia="zh-CN" w:bidi="ar-SA"/>
          <w14:textFill>
            <w14:solidFill>
              <w14:schemeClr w14:val="tx1"/>
            </w14:solidFill>
          </w14:textFill>
        </w:rPr>
        <w:t>设计</w:t>
      </w:r>
      <w:r>
        <w:rPr>
          <w:rFonts w:hint="eastAsia" w:ascii="宋体" w:hAnsi="宋体" w:eastAsia="宋体" w:cs="宋体"/>
          <w:color w:val="000000" w:themeColor="text1"/>
          <w:sz w:val="24"/>
          <w:szCs w:val="21"/>
          <w:lang w:val="en-US" w:eastAsia="zh-CN" w:bidi="ar-SA"/>
          <w14:textFill>
            <w14:solidFill>
              <w14:schemeClr w14:val="tx1"/>
            </w14:solidFill>
          </w14:textFill>
        </w:rPr>
        <w:t>图纸质版</w:t>
      </w:r>
      <w:r>
        <w:rPr>
          <w:rFonts w:hint="eastAsia" w:cs="宋体"/>
          <w:color w:val="000000" w:themeColor="text1"/>
          <w:sz w:val="24"/>
          <w:szCs w:val="21"/>
          <w:lang w:val="en-US" w:eastAsia="zh-CN" w:bidi="ar-SA"/>
          <w14:textFill>
            <w14:solidFill>
              <w14:schemeClr w14:val="tx1"/>
            </w14:solidFill>
          </w14:textFill>
        </w:rPr>
        <w:t>（A3格式）3份</w:t>
      </w:r>
      <w:r>
        <w:rPr>
          <w:rFonts w:hint="eastAsia" w:ascii="宋体" w:hAnsi="宋体" w:eastAsia="宋体" w:cs="宋体"/>
          <w:color w:val="000000" w:themeColor="text1"/>
          <w:sz w:val="24"/>
          <w:lang w:val="en-US" w:eastAsia="zh-CN"/>
          <w14:textFill>
            <w14:solidFill>
              <w14:schemeClr w14:val="tx1"/>
            </w14:solidFill>
          </w14:textFill>
        </w:rPr>
        <w:t>（正本一份，副本</w:t>
      </w:r>
      <w:r>
        <w:rPr>
          <w:rFonts w:hint="eastAsia"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lang w:val="en-US" w:eastAsia="zh-CN"/>
          <w14:textFill>
            <w14:solidFill>
              <w14:schemeClr w14:val="tx1"/>
            </w14:solidFill>
          </w14:textFill>
        </w:rPr>
        <w:t>份）</w:t>
      </w:r>
      <w:r>
        <w:rPr>
          <w:rFonts w:hint="eastAsia" w:ascii="宋体" w:hAnsi="宋体" w:eastAsia="宋体" w:cs="宋体"/>
          <w:color w:val="000000" w:themeColor="text1"/>
          <w:sz w:val="24"/>
          <w:szCs w:val="21"/>
          <w:lang w:val="en-US" w:eastAsia="zh-CN" w:bidi="ar-SA"/>
          <w14:textFill>
            <w14:solidFill>
              <w14:schemeClr w14:val="tx1"/>
            </w14:solidFill>
          </w14:textFill>
        </w:rPr>
        <w:t xml:space="preserve">及电子文档（光盘）1份。 </w:t>
      </w:r>
    </w:p>
    <w:p>
      <w:pPr>
        <w:widowControl w:val="0"/>
        <w:adjustRightInd w:val="0"/>
        <w:snapToGrid w:val="0"/>
        <w:spacing w:line="460" w:lineRule="exact"/>
        <w:ind w:left="0" w:leftChars="0" w:firstLine="480" w:firstLineChars="200"/>
        <w:rPr>
          <w:rFonts w:hint="eastAsia" w:ascii="宋体" w:hAnsi="宋体" w:eastAsia="宋体" w:cs="宋体"/>
          <w:color w:val="000000" w:themeColor="text1"/>
          <w:sz w:val="24"/>
          <w:szCs w:val="21"/>
          <w:lang w:val="en-US" w:eastAsia="zh-CN" w:bidi="ar-SA"/>
          <w14:textFill>
            <w14:solidFill>
              <w14:schemeClr w14:val="tx1"/>
            </w14:solidFill>
          </w14:textFill>
        </w:rPr>
      </w:pPr>
      <w:r>
        <w:rPr>
          <w:rFonts w:hint="eastAsia" w:ascii="宋体" w:hAnsi="宋体" w:eastAsia="宋体" w:cs="宋体"/>
          <w:color w:val="000000" w:themeColor="text1"/>
          <w:sz w:val="24"/>
          <w:szCs w:val="21"/>
          <w:lang w:val="en-US" w:eastAsia="zh-CN" w:bidi="ar-SA"/>
          <w14:textFill>
            <w14:solidFill>
              <w14:schemeClr w14:val="tx1"/>
            </w14:solidFill>
          </w14:textFill>
        </w:rPr>
        <w:t>2、包括但不限于以下内容：</w:t>
      </w:r>
    </w:p>
    <w:p>
      <w:pPr>
        <w:pStyle w:val="21"/>
        <w:autoSpaceDE/>
        <w:autoSpaceDN/>
        <w:snapToGrid w:val="0"/>
        <w:spacing w:line="460" w:lineRule="exact"/>
        <w:ind w:firstLine="480"/>
        <w:rPr>
          <w:rFonts w:hint="default" w:eastAsia="宋体"/>
          <w:color w:val="auto"/>
          <w:sz w:val="24"/>
          <w:szCs w:val="24"/>
          <w:highlight w:val="none"/>
          <w:lang w:val="en-US" w:eastAsia="zh-CN"/>
        </w:rPr>
      </w:pPr>
      <w:r>
        <w:rPr>
          <w:rFonts w:hint="eastAsia" w:ascii="宋体" w:hAnsi="宋体" w:eastAsia="宋体" w:cs="宋体"/>
          <w:color w:val="000000" w:themeColor="text1"/>
          <w:sz w:val="24"/>
          <w:szCs w:val="21"/>
          <w:lang w:val="en-US" w:eastAsia="zh-CN" w:bidi="ar-SA"/>
          <w14:textFill>
            <w14:solidFill>
              <w14:schemeClr w14:val="tx1"/>
            </w14:solidFill>
          </w14:textFill>
        </w:rPr>
        <w:t>（1）</w:t>
      </w:r>
      <w:r>
        <w:rPr>
          <w:rFonts w:hint="eastAsia" w:ascii="宋体" w:hAnsi="宋体" w:eastAsia="宋体" w:cs="宋体"/>
          <w:color w:val="000000" w:themeColor="text1"/>
          <w:sz w:val="24"/>
          <w:szCs w:val="21"/>
          <w:highlight w:val="none"/>
          <w:lang w:val="en-US" w:eastAsia="zh-CN" w:bidi="ar-SA"/>
          <w14:textFill>
            <w14:solidFill>
              <w14:schemeClr w14:val="tx1"/>
            </w14:solidFill>
          </w14:textFill>
        </w:rPr>
        <w:t>成果方案；（2）施工设计图（施工说明、平面图、立面图、剖面图）；（3）其他需要展示的内容</w:t>
      </w:r>
      <w:r>
        <w:rPr>
          <w:rFonts w:hint="eastAsia" w:hAnsi="宋体" w:cs="宋体"/>
          <w:color w:val="000000" w:themeColor="text1"/>
          <w:sz w:val="24"/>
          <w:szCs w:val="21"/>
          <w:highlight w:val="none"/>
          <w:lang w:val="en-US" w:eastAsia="zh-CN" w:bidi="ar-SA"/>
          <w14:textFill>
            <w14:solidFill>
              <w14:schemeClr w14:val="tx1"/>
            </w14:solidFill>
          </w14:textFill>
        </w:rPr>
        <w:t>。</w:t>
      </w:r>
    </w:p>
    <w:p>
      <w:pPr>
        <w:widowControl w:val="0"/>
        <w:adjustRightInd w:val="0"/>
        <w:snapToGrid w:val="0"/>
        <w:spacing w:line="460" w:lineRule="exact"/>
        <w:ind w:left="0" w:leftChars="0" w:firstLine="0" w:firstLineChars="0"/>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b/>
          <w:bCs/>
          <w:color w:val="auto"/>
          <w:sz w:val="24"/>
          <w:szCs w:val="24"/>
          <w:highlight w:val="none"/>
        </w:rPr>
        <w:t>3.3.</w:t>
      </w:r>
      <w:r>
        <w:rPr>
          <w:rFonts w:hint="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en-US" w:eastAsia="zh-CN"/>
        </w:rPr>
        <w:t>其他要求</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1、供应商应提供以下后续服务：</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(1)配合采购人做好施工招标工作；</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(2)配合采购人做好技术交底和图纸会审工作；</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(3)配合采购人做好现场验收工作；</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(4)配合采购人做好整个工程建设的设计变更工作；</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(5)参加建设工程的竣工验收工作；</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(6)参加整个工程建设过程中需由设计单位参加的相关工程会议。</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2、供应商应具有针对本项目的服务方案。</w:t>
      </w:r>
    </w:p>
    <w:p>
      <w:pPr>
        <w:widowControl w:val="0"/>
        <w:adjustRightInd w:val="0"/>
        <w:snapToGrid w:val="0"/>
        <w:spacing w:line="460" w:lineRule="exact"/>
        <w:ind w:left="0" w:leftChars="0" w:firstLine="480"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3、供应商应具有履约能力，有从事类似项目的业绩，为本项目配备的服务人员未经采购人同意不得更换。    </w:t>
      </w:r>
    </w:p>
    <w:p>
      <w:pPr>
        <w:widowControl w:val="0"/>
        <w:adjustRightInd w:val="0"/>
        <w:snapToGrid w:val="0"/>
        <w:spacing w:line="460" w:lineRule="exact"/>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4、供应商为本项目提供的所有服务应符合现行的国家相关标准、行业标准、地方标准或者其他标准、规范。</w:t>
      </w:r>
    </w:p>
    <w:p>
      <w:pPr>
        <w:widowControl w:val="0"/>
        <w:adjustRightInd w:val="0"/>
        <w:snapToGrid w:val="0"/>
        <w:spacing w:line="460" w:lineRule="exact"/>
        <w:ind w:left="0" w:leftChars="0"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5、项目实施过程中，设计内容如有调整，需与采购人协商，待采购人同意后方可进行调整，调整方案所涉及的费用由成交供应商负责。</w:t>
      </w:r>
    </w:p>
    <w:p>
      <w:pPr>
        <w:pStyle w:val="4"/>
        <w:keepNext w:val="0"/>
        <w:keepLines w:val="0"/>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3.4商务要求</w:t>
      </w:r>
    </w:p>
    <w:p>
      <w:pPr>
        <w:adjustRightInd w:val="0"/>
        <w:snapToGrid w:val="0"/>
        <w:spacing w:line="480" w:lineRule="exact"/>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3.4.1</w:t>
      </w:r>
      <w:r>
        <w:rPr>
          <w:rFonts w:hint="eastAsia"/>
          <w:b/>
          <w:bCs/>
          <w:color w:val="000000" w:themeColor="text1"/>
          <w:lang w:val="en-US" w:eastAsia="zh-CN"/>
          <w14:textFill>
            <w14:solidFill>
              <w14:schemeClr w14:val="tx1"/>
            </w14:solidFill>
          </w14:textFill>
        </w:rPr>
        <w:t>服务期限</w:t>
      </w:r>
      <w:r>
        <w:rPr>
          <w:rFonts w:hint="eastAsia"/>
          <w:b/>
          <w:bCs/>
          <w:color w:val="000000" w:themeColor="text1"/>
          <w14:textFill>
            <w14:solidFill>
              <w14:schemeClr w14:val="tx1"/>
            </w14:solidFill>
          </w14:textFill>
        </w:rPr>
        <w:t>：</w:t>
      </w:r>
      <w:r>
        <w:rPr>
          <w:rFonts w:hint="eastAsia" w:asciiTheme="minorHAnsi" w:hAnsiTheme="minorHAnsi" w:eastAsiaTheme="minorEastAsia" w:cstheme="minorEastAsia"/>
          <w:highlight w:val="none"/>
        </w:rPr>
        <w:t>合同签订后</w:t>
      </w:r>
      <w:r>
        <w:rPr>
          <w:rFonts w:hint="eastAsia" w:ascii="Times New Roman" w:hAnsi="Times New Roman" w:cs="Times New Roman" w:eastAsiaTheme="minorEastAsia"/>
          <w:highlight w:val="none"/>
          <w:lang w:val="en-US" w:eastAsia="zh-CN"/>
        </w:rPr>
        <w:t>20</w:t>
      </w:r>
      <w:r>
        <w:rPr>
          <w:rFonts w:hint="eastAsia" w:asciiTheme="minorHAnsi" w:hAnsiTheme="minorHAnsi" w:eastAsiaTheme="minorEastAsia" w:cstheme="minorEastAsia"/>
          <w:highlight w:val="none"/>
        </w:rPr>
        <w:t>个工作日内完成</w:t>
      </w:r>
      <w:r>
        <w:rPr>
          <w:rFonts w:hint="eastAsia"/>
          <w:b/>
          <w:bCs/>
          <w:color w:val="000000" w:themeColor="text1"/>
          <w:highlight w:val="none"/>
          <w14:textFill>
            <w14:solidFill>
              <w14:schemeClr w14:val="tx1"/>
            </w14:solidFill>
          </w14:textFill>
        </w:rPr>
        <w:t>。</w:t>
      </w:r>
    </w:p>
    <w:p>
      <w:pPr>
        <w:pStyle w:val="20"/>
        <w:spacing w:after="0" w:line="480" w:lineRule="exact"/>
        <w:ind w:firstLine="0" w:firstLineChars="0"/>
        <w:rPr>
          <w:rFonts w:ascii="宋体"/>
          <w:color w:val="000000"/>
        </w:rPr>
      </w:pPr>
      <w:r>
        <w:rPr>
          <w:rFonts w:hint="eastAsia" w:ascii="宋体"/>
          <w:b/>
          <w:bCs/>
          <w:color w:val="000000"/>
        </w:rPr>
        <w:t>3.4.2服务地点：</w:t>
      </w:r>
      <w:r>
        <w:rPr>
          <w:rFonts w:hint="eastAsia" w:ascii="宋体"/>
          <w:color w:val="000000"/>
        </w:rPr>
        <w:t>成都市金牛区</w:t>
      </w:r>
      <w:r>
        <w:rPr>
          <w:rFonts w:hint="eastAsia" w:ascii="宋体" w:hAnsi="宋体" w:cs="宋体"/>
          <w:color w:val="000000" w:themeColor="text1"/>
          <w:sz w:val="24"/>
          <w:szCs w:val="24"/>
          <w:lang w:eastAsia="zh-CN"/>
          <w14:textFill>
            <w14:solidFill>
              <w14:schemeClr w14:val="tx1"/>
            </w14:solidFill>
          </w14:textFill>
        </w:rPr>
        <w:t>花圃北路</w:t>
      </w:r>
      <w:r>
        <w:rPr>
          <w:rFonts w:hint="eastAsia" w:ascii="宋体"/>
          <w:color w:val="000000"/>
        </w:rPr>
        <w:t>。</w:t>
      </w:r>
    </w:p>
    <w:p>
      <w:pPr>
        <w:snapToGrid w:val="0"/>
        <w:spacing w:line="480" w:lineRule="exact"/>
        <w:ind w:firstLine="0" w:firstLineChars="0"/>
        <w:rPr>
          <w:rFonts w:hint="eastAsia"/>
          <w:b/>
          <w:bCs/>
          <w:color w:val="000000"/>
          <w:highlight w:val="none"/>
        </w:rPr>
      </w:pPr>
      <w:r>
        <w:rPr>
          <w:rFonts w:hint="eastAsia"/>
          <w:b/>
          <w:bCs/>
          <w:color w:val="000000"/>
          <w:highlight w:val="none"/>
        </w:rPr>
        <w:t>3.4.3付款方式：</w:t>
      </w:r>
    </w:p>
    <w:p>
      <w:pPr>
        <w:pStyle w:val="20"/>
        <w:widowControl w:val="0"/>
        <w:adjustRightInd w:val="0"/>
        <w:snapToGrid w:val="0"/>
        <w:spacing w:after="0" w:line="480" w:lineRule="exact"/>
        <w:ind w:firstLine="480" w:firstLineChars="200"/>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第一次预拨付：合同签订且项目正式启动后，拨付合同金额的40%，作为项目启动资金；</w:t>
      </w:r>
    </w:p>
    <w:p>
      <w:pPr>
        <w:pStyle w:val="20"/>
        <w:widowControl w:val="0"/>
        <w:adjustRightInd w:val="0"/>
        <w:snapToGrid w:val="0"/>
        <w:spacing w:after="0" w:line="480" w:lineRule="exact"/>
        <w:ind w:firstLine="480" w:firstLineChars="200"/>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第二次拨付：供应商实际投资达到项目合同约定计划的50%时，依据《项目验收报告》，拨付项目合同金额的40%；</w:t>
      </w:r>
    </w:p>
    <w:p>
      <w:pPr>
        <w:pStyle w:val="20"/>
        <w:widowControl w:val="0"/>
        <w:adjustRightInd w:val="0"/>
        <w:snapToGrid w:val="0"/>
        <w:spacing w:after="0" w:line="480" w:lineRule="exact"/>
        <w:ind w:firstLine="480" w:firstLineChars="200"/>
        <w:rPr>
          <w:rFonts w:hint="default" w:asciiTheme="minorEastAsia" w:hAnsiTheme="minorEastAsia" w:eastAsiaTheme="minorEastAsia" w:cstheme="minorEastAsia"/>
          <w:b w:val="0"/>
          <w:bCs/>
          <w:highlight w:val="yellow"/>
          <w:lang w:val="en-US" w:eastAsia="zh-CN"/>
        </w:rPr>
      </w:pPr>
      <w:r>
        <w:rPr>
          <w:rFonts w:hint="eastAsia" w:asciiTheme="minorEastAsia" w:hAnsiTheme="minorEastAsia" w:eastAsiaTheme="minorEastAsia" w:cstheme="minorEastAsia"/>
          <w:b w:val="0"/>
          <w:bCs/>
          <w:lang w:val="en-US" w:eastAsia="zh-CN"/>
        </w:rPr>
        <w:t>第三次拨付：供应商实际投资达到项目合同约定计划的100%时，依据《项目验收报告》，拨付项目合同金额的20%。</w:t>
      </w:r>
    </w:p>
    <w:p>
      <w:pPr>
        <w:pStyle w:val="20"/>
        <w:widowControl w:val="0"/>
        <w:adjustRightInd w:val="0"/>
        <w:snapToGrid w:val="0"/>
        <w:spacing w:after="0" w:line="480" w:lineRule="exact"/>
        <w:ind w:firstLine="0" w:firstLineChars="0"/>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rPr>
        <w:t>3.4.4履约保证金</w:t>
      </w:r>
      <w:r>
        <w:rPr>
          <w:rFonts w:hint="eastAsia" w:asciiTheme="minorEastAsia" w:hAnsiTheme="minorEastAsia" w:eastAsiaTheme="minorEastAsia" w:cstheme="minorEastAsia"/>
          <w:b/>
          <w:lang w:val="en-US" w:eastAsia="zh-CN"/>
        </w:rPr>
        <w:t xml:space="preserve">  </w:t>
      </w:r>
    </w:p>
    <w:p>
      <w:pPr>
        <w:widowControl w:val="0"/>
        <w:adjustRightInd w:val="0"/>
        <w:snapToGrid w:val="0"/>
        <w:spacing w:line="480" w:lineRule="exact"/>
        <w:ind w:firstLine="480" w:firstLineChars="200"/>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本项目无履约保证金。</w:t>
      </w:r>
    </w:p>
    <w:p>
      <w:pPr>
        <w:widowControl w:val="0"/>
        <w:adjustRightInd w:val="0"/>
        <w:snapToGrid w:val="0"/>
        <w:spacing w:line="480" w:lineRule="exact"/>
        <w:ind w:firstLine="0" w:firstLineChars="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3.4.5履行合同要求</w:t>
      </w:r>
    </w:p>
    <w:p>
      <w:pPr>
        <w:widowControl w:val="0"/>
        <w:adjustRightInd w:val="0"/>
        <w:snapToGrid w:val="0"/>
        <w:spacing w:line="480" w:lineRule="exact"/>
        <w:ind w:firstLine="480"/>
        <w:rPr>
          <w:rFonts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（1）本项目不允许分包、转包。</w:t>
      </w:r>
    </w:p>
    <w:p>
      <w:pPr>
        <w:widowControl w:val="0"/>
        <w:adjustRightInd w:val="0"/>
        <w:snapToGrid w:val="0"/>
        <w:spacing w:line="480" w:lineRule="exact"/>
        <w:ind w:firstLine="480"/>
        <w:rPr>
          <w:rFonts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（2）供应商提供的服务未达到磋商文件规定要求，且对采购人造成损失的，由供应商承担一切责任，并赔偿所造成的损失。</w:t>
      </w:r>
    </w:p>
    <w:p>
      <w:pPr>
        <w:widowControl w:val="0"/>
        <w:adjustRightInd w:val="0"/>
        <w:snapToGrid w:val="0"/>
        <w:spacing w:line="480" w:lineRule="exact"/>
        <w:ind w:firstLine="0" w:firstLineChars="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3.4.6验收</w:t>
      </w:r>
    </w:p>
    <w:p>
      <w:pPr>
        <w:keepNext w:val="0"/>
        <w:keepLines w:val="0"/>
        <w:widowControl/>
        <w:shd w:val="clear" w:color="auto" w:fill="FFFFFF"/>
        <w:tabs>
          <w:tab w:val="left" w:pos="426"/>
        </w:tabs>
        <w:spacing w:line="480" w:lineRule="exact"/>
        <w:ind w:firstLine="480" w:firstLineChars="200"/>
        <w:textAlignment w:val="baseline"/>
        <w:outlineLvl w:val="9"/>
        <w:rPr>
          <w:rFonts w:hint="eastAsia" w:ascii="宋体" w:hAnsi="宋体" w:eastAsia="宋体" w:cs="宋体"/>
          <w:b w:val="0"/>
          <w:bCs w:val="0"/>
        </w:rPr>
      </w:pPr>
      <w:r>
        <w:rPr>
          <w:rFonts w:hint="eastAsia" w:ascii="宋体" w:hAnsi="宋体" w:eastAsia="宋体" w:cs="宋体"/>
          <w:b w:val="0"/>
          <w:bCs w:val="0"/>
        </w:rPr>
        <w:t>成交供应商履行政府采购合同约定义务后，为保证采购质量，采购人可参照政府采购相关法律法规以及《财政部关于进一步加强政府采购需求和履约验收管理的指导意见》（财库〔2016〕205号）的要求进行验收。</w:t>
      </w:r>
    </w:p>
    <w:p>
      <w:pPr>
        <w:pStyle w:val="4"/>
        <w:keepNext w:val="0"/>
        <w:keepLines w:val="0"/>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3.5报价要求</w:t>
      </w:r>
    </w:p>
    <w:p>
      <w:pPr>
        <w:widowControl w:val="0"/>
        <w:adjustRightInd w:val="0"/>
        <w:snapToGrid w:val="0"/>
        <w:spacing w:line="480" w:lineRule="exact"/>
        <w:ind w:firstLine="482"/>
        <w:rPr>
          <w:rFonts w:asciiTheme="minorEastAsia" w:hAnsiTheme="minorEastAsia" w:eastAsiaTheme="minorEastAsia" w:cstheme="minorEastAsia"/>
        </w:rPr>
      </w:pPr>
      <w:r>
        <w:rPr>
          <w:rFonts w:hint="eastAsia" w:asciiTheme="minorEastAsia" w:hAnsiTheme="minorEastAsia" w:eastAsiaTheme="minorEastAsia" w:cstheme="minorEastAsia"/>
          <w:b/>
          <w:bCs/>
          <w:highlight w:val="none"/>
        </w:rPr>
        <w:t>★最高限价：人民币</w:t>
      </w:r>
      <w:r>
        <w:rPr>
          <w:rFonts w:hint="eastAsia" w:asciiTheme="minorEastAsia" w:hAnsiTheme="minorEastAsia" w:eastAsiaTheme="minorEastAsia" w:cstheme="minorEastAsia"/>
          <w:b/>
          <w:bCs/>
          <w:highlight w:val="none"/>
          <w:u w:val="single"/>
        </w:rPr>
        <w:t xml:space="preserve"> </w:t>
      </w:r>
      <w:r>
        <w:rPr>
          <w:rFonts w:hint="eastAsia" w:asciiTheme="minorEastAsia" w:hAnsiTheme="minorEastAsia" w:eastAsiaTheme="minorEastAsia" w:cstheme="minorEastAsia"/>
          <w:b/>
          <w:bCs/>
          <w:highlight w:val="none"/>
          <w:u w:val="single"/>
          <w:lang w:eastAsia="zh-CN"/>
        </w:rPr>
        <w:t>29万元</w:t>
      </w:r>
      <w:r>
        <w:rPr>
          <w:rFonts w:hint="eastAsia" w:asciiTheme="minorEastAsia" w:hAnsiTheme="minorEastAsia" w:eastAsiaTheme="minorEastAsia" w:cstheme="minorEastAsia"/>
          <w:b/>
          <w:bCs/>
          <w:highlight w:val="none"/>
          <w:u w:val="single"/>
        </w:rPr>
        <w:t xml:space="preserve"> </w:t>
      </w:r>
      <w:r>
        <w:rPr>
          <w:rFonts w:hint="eastAsia" w:asciiTheme="minorEastAsia" w:hAnsiTheme="minorEastAsia" w:eastAsiaTheme="minorEastAsia" w:cstheme="minorEastAsia"/>
          <w:b/>
          <w:bCs/>
          <w:highlight w:val="none"/>
        </w:rPr>
        <w:t>。供应</w:t>
      </w:r>
      <w:r>
        <w:rPr>
          <w:rFonts w:hint="eastAsia" w:asciiTheme="minorEastAsia" w:hAnsiTheme="minorEastAsia" w:eastAsiaTheme="minorEastAsia" w:cstheme="minorEastAsia"/>
          <w:b/>
          <w:bCs/>
        </w:rPr>
        <w:t>商报价高于最高限价的，则其响应文件按</w:t>
      </w:r>
      <w:r>
        <w:rPr>
          <w:rFonts w:hint="eastAsia" w:asciiTheme="minorEastAsia" w:hAnsiTheme="minorEastAsia" w:eastAsiaTheme="minorEastAsia" w:cstheme="minorEastAsia"/>
          <w:b/>
          <w:bCs/>
          <w:lang w:val="zh-CN"/>
        </w:rPr>
        <w:t>无效响应文件处理</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rPr>
        <w:t>供应商报价应包含完成本项目所需的一切费用。</w:t>
      </w:r>
    </w:p>
    <w:p>
      <w:pPr>
        <w:pStyle w:val="4"/>
        <w:keepNext w:val="0"/>
        <w:keepLines w:val="0"/>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3.6满足项目需求、质量和服务相等的项目实质性要求</w:t>
      </w:r>
    </w:p>
    <w:p>
      <w:pPr>
        <w:adjustRightInd w:val="0"/>
        <w:snapToGrid w:val="0"/>
        <w:spacing w:line="480" w:lineRule="exact"/>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带★的要求为满足项目需求、质量和服务相等的项目实质性要求，不允许有负偏离，否则其响应文件按无效响应文件处理。</w:t>
      </w:r>
    </w:p>
    <w:p>
      <w:pPr>
        <w:widowControl w:val="0"/>
        <w:adjustRightInd w:val="0"/>
        <w:snapToGrid w:val="0"/>
        <w:spacing w:line="480" w:lineRule="exact"/>
        <w:ind w:firstLine="480"/>
      </w:pPr>
      <w:r>
        <w:rPr>
          <w:rFonts w:hint="eastAsia"/>
        </w:rPr>
        <w:br w:type="page"/>
      </w:r>
    </w:p>
    <w:bookmarkEnd w:id="117"/>
    <w:bookmarkEnd w:id="118"/>
    <w:bookmarkEnd w:id="120"/>
    <w:p>
      <w:pPr>
        <w:pStyle w:val="3"/>
        <w:keepNext w:val="0"/>
        <w:keepLines w:val="0"/>
        <w:widowControl w:val="0"/>
        <w:numPr>
          <w:ilvl w:val="0"/>
          <w:numId w:val="0"/>
        </w:numPr>
        <w:adjustRightInd w:val="0"/>
        <w:snapToGrid w:val="0"/>
        <w:spacing w:line="360" w:lineRule="auto"/>
        <w:rPr>
          <w:color w:val="auto"/>
        </w:rPr>
      </w:pPr>
      <w:bookmarkStart w:id="121" w:name="_Toc2361"/>
      <w:bookmarkStart w:id="122" w:name="_Toc11085"/>
      <w:bookmarkStart w:id="123" w:name="_Toc26220"/>
      <w:r>
        <w:rPr>
          <w:rFonts w:hint="eastAsia"/>
          <w:color w:val="auto"/>
        </w:rPr>
        <w:t>第4章 磋商内容、磋商过程中可实质性变动的内容</w:t>
      </w:r>
      <w:bookmarkEnd w:id="121"/>
    </w:p>
    <w:p>
      <w:pPr>
        <w:ind w:firstLine="480"/>
      </w:pPr>
    </w:p>
    <w:p>
      <w:pPr>
        <w:ind w:firstLine="482"/>
        <w:rPr>
          <w:b/>
          <w:bCs/>
        </w:rPr>
      </w:pPr>
      <w:r>
        <w:rPr>
          <w:rFonts w:hint="eastAsia"/>
          <w:b/>
          <w:bCs/>
        </w:rPr>
        <w:t>由磋商小组根据磋商情况实质性变动磋商文件的第3章技术、服务要求和第7章拟签订合同草案条款，但不得变动磋商文件中的其他内容。磋商实质性变动的内容，须经采购人代表书面确认。对磋商文件作出的实质性变动是磋商文件的有效组成部分，磋商小组应当及时以书面形式同时通知所有参加磋商的供应商。</w:t>
      </w:r>
    </w:p>
    <w:p>
      <w:pPr>
        <w:ind w:firstLine="643"/>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pStyle w:val="3"/>
        <w:keepNext w:val="0"/>
        <w:keepLines w:val="0"/>
        <w:widowControl w:val="0"/>
        <w:numPr>
          <w:ilvl w:val="0"/>
          <w:numId w:val="0"/>
        </w:numPr>
        <w:adjustRightInd w:val="0"/>
        <w:snapToGrid w:val="0"/>
        <w:spacing w:line="360" w:lineRule="auto"/>
        <w:rPr>
          <w:color w:val="auto"/>
        </w:rPr>
      </w:pPr>
      <w:bookmarkStart w:id="124" w:name="_Toc31608"/>
      <w:r>
        <w:rPr>
          <w:rFonts w:hint="eastAsia"/>
          <w:color w:val="auto"/>
        </w:rPr>
        <w:t>第5章 响应文件格式</w:t>
      </w:r>
      <w:bookmarkEnd w:id="122"/>
      <w:bookmarkEnd w:id="123"/>
      <w:bookmarkEnd w:id="124"/>
    </w:p>
    <w:p>
      <w:pPr>
        <w:ind w:firstLine="480"/>
      </w:pPr>
      <w:r>
        <w:rPr>
          <w:rFonts w:hint="eastAsia"/>
        </w:rPr>
        <w:t>一、本章所制响应文件格式，除格式中明确将该格式作为实质性要求的，一律不具有强制性，但是，供应商响应文件相关资料和本章所制格式不一致的，磋商小组将在评分时以响应文件不规范予以扣分处理。</w:t>
      </w:r>
    </w:p>
    <w:p>
      <w:pPr>
        <w:ind w:firstLine="480"/>
      </w:pPr>
      <w:r>
        <w:rPr>
          <w:rFonts w:hint="eastAsia"/>
        </w:rPr>
        <w:t>二、本章所制响应文件格式有关表格中的备注栏，由供应商根据自身响应情况作解释性说明，不作为必填项。</w:t>
      </w:r>
    </w:p>
    <w:p>
      <w:pPr>
        <w:ind w:firstLine="480"/>
        <w:rPr>
          <w:rFonts w:asciiTheme="minorEastAsia" w:hAnsiTheme="minorEastAsia" w:eastAsiaTheme="minorEastAsia" w:cstheme="minorEastAsia"/>
        </w:rPr>
      </w:pPr>
      <w:r>
        <w:rPr>
          <w:rFonts w:hint="eastAsia"/>
        </w:rPr>
        <w:t>三、本章所制响应文件格式中需要填写的相关内容事项，可能会与本采购项目无关，在不改变响应文件原义、不影响本项目采购需求的情况下，供应商可以不予填写，但应当注明。</w:t>
      </w:r>
    </w:p>
    <w:p>
      <w:pPr>
        <w:ind w:firstLine="480"/>
        <w:rPr>
          <w:rFonts w:asciiTheme="minorEastAsia" w:hAnsiTheme="minorEastAsia" w:eastAsiaTheme="minorEastAsia" w:cstheme="minorEastAsia"/>
        </w:rPr>
      </w:pPr>
      <w:bookmarkStart w:id="125" w:name="_Toc320698755"/>
      <w:bookmarkStart w:id="126" w:name="_Toc12275"/>
      <w:bookmarkStart w:id="127" w:name="_Toc25328"/>
      <w:r>
        <w:rPr>
          <w:rFonts w:hint="eastAsia" w:asciiTheme="minorEastAsia" w:hAnsiTheme="minorEastAsia" w:eastAsiaTheme="minorEastAsia" w:cstheme="minorEastAsia"/>
        </w:rPr>
        <w:br w:type="page"/>
      </w:r>
    </w:p>
    <w:p>
      <w:pPr>
        <w:pStyle w:val="4"/>
      </w:pPr>
      <w:r>
        <w:rPr>
          <w:rFonts w:hint="eastAsia"/>
        </w:rPr>
        <w:t>5.1</w:t>
      </w:r>
      <w:bookmarkEnd w:id="125"/>
      <w:r>
        <w:rPr>
          <w:rFonts w:hint="eastAsia"/>
        </w:rPr>
        <w:t>响应文件格式</w:t>
      </w:r>
      <w:bookmarkEnd w:id="126"/>
      <w:bookmarkEnd w:id="127"/>
    </w:p>
    <w:p>
      <w:pPr>
        <w:widowControl w:val="0"/>
        <w:tabs>
          <w:tab w:val="left" w:pos="567"/>
        </w:tabs>
        <w:adjustRightInd w:val="0"/>
        <w:snapToGrid w:val="0"/>
        <w:spacing w:line="360" w:lineRule="auto"/>
        <w:ind w:firstLine="0" w:firstLineChars="0"/>
        <w:outlineLvl w:val="2"/>
        <w:rPr>
          <w:b/>
          <w:bCs/>
        </w:rPr>
      </w:pPr>
      <w:bookmarkStart w:id="128" w:name="_Toc320698754"/>
      <w:r>
        <w:rPr>
          <w:rFonts w:hint="eastAsia"/>
          <w:b/>
          <w:bCs/>
        </w:rPr>
        <w:t>5.1.1响应文件密封包装最外层格式</w:t>
      </w:r>
      <w:bookmarkEnd w:id="128"/>
    </w:p>
    <w:tbl>
      <w:tblPr>
        <w:tblStyle w:val="4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180" w:type="dxa"/>
          </w:tcPr>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p>
            <w:pPr>
              <w:widowControl w:val="0"/>
              <w:adjustRightInd w:val="0"/>
              <w:snapToGrid w:val="0"/>
              <w:spacing w:line="360" w:lineRule="auto"/>
              <w:ind w:firstLine="480"/>
              <w:jc w:val="center"/>
            </w:pPr>
          </w:p>
          <w:p>
            <w:pPr>
              <w:widowControl w:val="0"/>
              <w:adjustRightInd w:val="0"/>
              <w:snapToGrid w:val="0"/>
              <w:spacing w:line="360" w:lineRule="auto"/>
              <w:ind w:firstLine="480"/>
              <w:jc w:val="center"/>
            </w:pPr>
            <w:r>
              <w:rPr>
                <w:rFonts w:hint="eastAsia"/>
              </w:rPr>
              <w:t>响应文件</w:t>
            </w:r>
          </w:p>
          <w:p>
            <w:pPr>
              <w:widowControl w:val="0"/>
              <w:adjustRightInd w:val="0"/>
              <w:snapToGrid w:val="0"/>
              <w:spacing w:line="360" w:lineRule="auto"/>
              <w:ind w:left="821" w:hanging="820" w:hangingChars="342"/>
            </w:pPr>
          </w:p>
          <w:p>
            <w:pPr>
              <w:widowControl w:val="0"/>
              <w:adjustRightInd w:val="0"/>
              <w:snapToGrid w:val="0"/>
              <w:spacing w:line="360" w:lineRule="auto"/>
              <w:ind w:left="821" w:hanging="820" w:hangingChars="342"/>
              <w:jc w:val="center"/>
            </w:pPr>
            <w:r>
              <w:rPr>
                <w:rFonts w:hint="eastAsia"/>
              </w:rPr>
              <w:t>供应商名称：</w:t>
            </w:r>
            <w:r>
              <w:rPr>
                <w:rFonts w:hint="eastAsia"/>
                <w:u w:val="single"/>
              </w:rPr>
              <w:t xml:space="preserve">                       </w:t>
            </w:r>
            <w:r>
              <w:rPr>
                <w:rFonts w:hint="eastAsia"/>
              </w:rPr>
              <w:t>（加盖公章）</w:t>
            </w:r>
          </w:p>
          <w:p>
            <w:pPr>
              <w:widowControl w:val="0"/>
              <w:adjustRightInd w:val="0"/>
              <w:snapToGrid w:val="0"/>
              <w:spacing w:line="360" w:lineRule="auto"/>
              <w:ind w:firstLine="480"/>
              <w:jc w:val="cente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pPr>
        <w:pStyle w:val="5"/>
      </w:pPr>
      <w:r>
        <w:rPr>
          <w:rFonts w:hint="eastAsia"/>
        </w:rPr>
        <w:t>5.1.2响应文件封面格式</w:t>
      </w:r>
    </w:p>
    <w:tbl>
      <w:tblPr>
        <w:tblStyle w:val="43"/>
        <w:tblW w:w="914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9144" w:type="dxa"/>
          </w:tcPr>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p>
            <w:pPr>
              <w:widowControl w:val="0"/>
              <w:adjustRightInd w:val="0"/>
              <w:snapToGrid w:val="0"/>
              <w:spacing w:line="360" w:lineRule="auto"/>
              <w:ind w:firstLine="480"/>
              <w:jc w:val="center"/>
            </w:pPr>
          </w:p>
          <w:p>
            <w:pPr>
              <w:widowControl w:val="0"/>
              <w:adjustRightInd w:val="0"/>
              <w:snapToGrid w:val="0"/>
              <w:spacing w:line="360" w:lineRule="auto"/>
              <w:ind w:firstLine="480"/>
              <w:jc w:val="center"/>
            </w:pPr>
            <w:r>
              <w:rPr>
                <w:rFonts w:hint="eastAsia"/>
              </w:rPr>
              <w:t>响应文件</w:t>
            </w:r>
          </w:p>
          <w:p>
            <w:pPr>
              <w:widowControl w:val="0"/>
              <w:adjustRightInd w:val="0"/>
              <w:snapToGrid w:val="0"/>
              <w:spacing w:line="360" w:lineRule="auto"/>
              <w:ind w:firstLine="480"/>
              <w:jc w:val="center"/>
            </w:pPr>
            <w:r>
              <w:rPr>
                <w:rFonts w:hint="eastAsia"/>
              </w:rPr>
              <w:t>（正本或副本）</w:t>
            </w:r>
          </w:p>
          <w:p>
            <w:pPr>
              <w:widowControl w:val="0"/>
              <w:adjustRightInd w:val="0"/>
              <w:snapToGrid w:val="0"/>
              <w:spacing w:line="360" w:lineRule="auto"/>
              <w:ind w:left="821" w:hanging="820" w:hangingChars="342"/>
            </w:pPr>
          </w:p>
          <w:p>
            <w:pPr>
              <w:widowControl w:val="0"/>
              <w:adjustRightInd w:val="0"/>
              <w:snapToGrid w:val="0"/>
              <w:spacing w:line="360" w:lineRule="auto"/>
              <w:ind w:left="821" w:hanging="820" w:hangingChars="342"/>
              <w:jc w:val="center"/>
            </w:pPr>
            <w:r>
              <w:rPr>
                <w:rFonts w:hint="eastAsia"/>
              </w:rPr>
              <w:t>供应商名称：</w:t>
            </w:r>
            <w:r>
              <w:rPr>
                <w:rFonts w:hint="eastAsia"/>
                <w:u w:val="single"/>
              </w:rPr>
              <w:t xml:space="preserve">       </w:t>
            </w:r>
            <w:r>
              <w:rPr>
                <w:rFonts w:hint="eastAsia"/>
              </w:rPr>
              <w:t>（加盖公章）</w:t>
            </w:r>
          </w:p>
          <w:p>
            <w:pPr>
              <w:widowControl w:val="0"/>
              <w:adjustRightInd w:val="0"/>
              <w:snapToGrid w:val="0"/>
              <w:spacing w:line="360" w:lineRule="auto"/>
              <w:ind w:firstLine="480"/>
              <w:jc w:val="center"/>
            </w:pPr>
            <w:r>
              <w:rPr>
                <w:rFonts w:hint="eastAsia"/>
              </w:rPr>
              <w:t xml:space="preserve">日期： </w:t>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tc>
      </w:tr>
    </w:tbl>
    <w:p>
      <w:pPr>
        <w:widowControl w:val="0"/>
        <w:adjustRightInd w:val="0"/>
        <w:snapToGrid w:val="0"/>
        <w:spacing w:line="360" w:lineRule="auto"/>
        <w:ind w:firstLine="308" w:firstLineChars="128"/>
        <w:rPr>
          <w:rFonts w:asciiTheme="minorEastAsia" w:hAnsiTheme="minorEastAsia" w:eastAsiaTheme="minorEastAsia" w:cstheme="minorEastAsia"/>
          <w:b/>
        </w:rPr>
      </w:pPr>
    </w:p>
    <w:p>
      <w:pPr>
        <w:ind w:firstLine="422"/>
        <w:rPr>
          <w:b/>
          <w:bCs/>
          <w:sz w:val="21"/>
          <w:szCs w:val="21"/>
        </w:rPr>
      </w:pPr>
      <w:r>
        <w:rPr>
          <w:rFonts w:hint="eastAsia"/>
          <w:b/>
          <w:bCs/>
          <w:sz w:val="21"/>
          <w:szCs w:val="21"/>
        </w:rPr>
        <w:t xml:space="preserve"> 温馨提示：1）响应文件正本一份、副本二份；2）签字、盖章应符合磋商文件要求；3）供应商提供的资格证明材料如发证机关有年检要求的则应通过年检且年检章要清楚，如有有效期的则应提供在有效期内的证明材料。</w:t>
      </w:r>
    </w:p>
    <w:p>
      <w:pPr>
        <w:ind w:firstLine="480"/>
        <w:rPr>
          <w:rFonts w:asciiTheme="minorEastAsia" w:hAnsiTheme="minorEastAsia" w:eastAsiaTheme="minorEastAsia" w:cstheme="minorEastAsia"/>
        </w:rPr>
      </w:pPr>
      <w:bookmarkStart w:id="129" w:name="_Toc9275"/>
      <w:bookmarkStart w:id="130" w:name="_Toc238273561"/>
      <w:r>
        <w:rPr>
          <w:rFonts w:hint="eastAsia" w:asciiTheme="minorEastAsia" w:hAnsiTheme="minorEastAsia" w:eastAsiaTheme="minorEastAsia" w:cstheme="minorEastAsia"/>
        </w:rPr>
        <w:br w:type="page"/>
      </w:r>
    </w:p>
    <w:p>
      <w:pPr>
        <w:pStyle w:val="5"/>
      </w:pPr>
      <w:r>
        <w:rPr>
          <w:rFonts w:hint="eastAsia"/>
        </w:rPr>
        <w:t>5.1.3法定代表人/单位负责人身份证明书</w:t>
      </w:r>
      <w:bookmarkEnd w:id="129"/>
    </w:p>
    <w:p>
      <w:pPr>
        <w:tabs>
          <w:tab w:val="left" w:pos="6300"/>
        </w:tabs>
        <w:adjustRightInd w:val="0"/>
        <w:snapToGrid w:val="0"/>
        <w:spacing w:line="360" w:lineRule="auto"/>
        <w:ind w:firstLine="480"/>
        <w:rPr>
          <w:rFonts w:asciiTheme="minorEastAsia" w:hAnsiTheme="minorEastAsia" w:eastAsiaTheme="minorEastAsia" w:cstheme="minorEastAsia"/>
          <w:u w:val="single"/>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r>
        <w:rPr>
          <w:rFonts w:hint="eastAsia" w:asciiTheme="minorEastAsia" w:hAnsiTheme="minorEastAsia" w:eastAsiaTheme="minorEastAsia" w:cstheme="minorEastAsia"/>
          <w:u w:val="single"/>
          <w:lang w:val="zh-CN"/>
        </w:rPr>
        <w:t xml:space="preserve">   （法定代表人</w:t>
      </w:r>
      <w:r>
        <w:rPr>
          <w:rFonts w:hint="eastAsia"/>
          <w:u w:val="single"/>
        </w:rPr>
        <w:t>/</w:t>
      </w:r>
      <w:r>
        <w:rPr>
          <w:rFonts w:hint="eastAsia"/>
          <w:u w:val="single"/>
          <w:lang w:val="zh-CN"/>
        </w:rPr>
        <w:t>单位负责人姓名</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在</w:t>
      </w:r>
      <w:r>
        <w:rPr>
          <w:rFonts w:hint="eastAsia" w:asciiTheme="minorEastAsia" w:hAnsiTheme="minorEastAsia" w:eastAsiaTheme="minorEastAsia" w:cstheme="minorEastAsia"/>
          <w:u w:val="single"/>
          <w:lang w:val="zh-CN"/>
        </w:rPr>
        <w:t xml:space="preserve">          （供应商名称）  </w:t>
      </w:r>
      <w:r>
        <w:rPr>
          <w:rFonts w:hint="eastAsia" w:asciiTheme="minorEastAsia" w:hAnsiTheme="minorEastAsia" w:eastAsiaTheme="minorEastAsia" w:cstheme="minorEastAsia"/>
          <w:lang w:val="zh-CN"/>
        </w:rPr>
        <w:t>处任</w:t>
      </w:r>
      <w:r>
        <w:rPr>
          <w:rFonts w:hint="eastAsia" w:asciiTheme="minorEastAsia" w:hAnsiTheme="minorEastAsia" w:eastAsiaTheme="minorEastAsia" w:cstheme="minorEastAsia"/>
          <w:u w:val="single"/>
          <w:lang w:val="zh-CN"/>
        </w:rPr>
        <w:t xml:space="preserve">         （职务名称）        </w:t>
      </w:r>
      <w:r>
        <w:rPr>
          <w:rFonts w:hint="eastAsia" w:asciiTheme="minorEastAsia" w:hAnsiTheme="minorEastAsia" w:eastAsiaTheme="minorEastAsia" w:cstheme="minorEastAsia"/>
          <w:lang w:val="zh-CN"/>
        </w:rPr>
        <w:t>职务，是</w:t>
      </w:r>
      <w:r>
        <w:rPr>
          <w:rFonts w:hint="eastAsia" w:asciiTheme="minorEastAsia" w:hAnsiTheme="minorEastAsia" w:eastAsiaTheme="minorEastAsia" w:cstheme="minorEastAsia"/>
          <w:u w:val="single"/>
          <w:lang w:val="zh-CN"/>
        </w:rPr>
        <w:t xml:space="preserve">      （供应商名称）    </w:t>
      </w:r>
      <w:r>
        <w:rPr>
          <w:rFonts w:hint="eastAsia" w:asciiTheme="minorEastAsia" w:hAnsiTheme="minorEastAsia" w:eastAsiaTheme="minorEastAsia" w:cstheme="minorEastAsia"/>
          <w:lang w:val="zh-CN"/>
        </w:rPr>
        <w:t>的法定代表人。</w:t>
      </w: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bookmarkStart w:id="131" w:name="_Toc263768866"/>
      <w:r>
        <w:rPr>
          <w:rFonts w:hint="eastAsia" w:asciiTheme="minorEastAsia" w:hAnsiTheme="minorEastAsia" w:eastAsiaTheme="minorEastAsia" w:cstheme="minorEastAsia"/>
          <w:lang w:val="zh-CN"/>
        </w:rPr>
        <w:t>特此证明。</w:t>
      </w:r>
      <w:bookmarkEnd w:id="131"/>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tabs>
          <w:tab w:val="left" w:pos="6300"/>
        </w:tabs>
        <w:adjustRightInd w:val="0"/>
        <w:snapToGrid w:val="0"/>
        <w:spacing w:line="360" w:lineRule="auto"/>
        <w:ind w:firstLine="480"/>
        <w:rPr>
          <w:rFonts w:asciiTheme="minorEastAsia" w:hAnsiTheme="minorEastAsia" w:eastAsiaTheme="minorEastAsia" w:cstheme="minorEastAsia"/>
          <w:lang w:val="zh-CN"/>
        </w:rPr>
      </w:pPr>
    </w:p>
    <w:p>
      <w:pPr>
        <w:adjustRightInd w:val="0"/>
        <w:snapToGrid w:val="0"/>
        <w:spacing w:line="360" w:lineRule="auto"/>
        <w:ind w:firstLine="48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供应商名称：</w:t>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lang w:val="zh-CN"/>
        </w:rPr>
        <w:tab/>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（加盖公章）</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tabs>
          <w:tab w:val="left" w:pos="6300"/>
        </w:tabs>
        <w:adjustRightInd w:val="0"/>
        <w:snapToGrid w:val="0"/>
        <w:spacing w:line="360" w:lineRule="auto"/>
        <w:ind w:firstLine="482"/>
        <w:rPr>
          <w:rFonts w:asciiTheme="minorEastAsia" w:hAnsiTheme="minorEastAsia" w:eastAsiaTheme="minorEastAsia" w:cstheme="minorEastAsia"/>
          <w:b/>
          <w:u w:val="single"/>
          <w:lang w:val="zh-CN"/>
        </w:rPr>
      </w:pPr>
    </w:p>
    <w:p>
      <w:pPr>
        <w:pStyle w:val="2"/>
        <w:rPr>
          <w:color w:val="auto"/>
          <w:lang w:val="zh-CN"/>
        </w:rPr>
      </w:pPr>
    </w:p>
    <w:p>
      <w:pPr>
        <w:ind w:firstLine="422"/>
        <w:rPr>
          <w:b/>
          <w:bCs/>
          <w:sz w:val="21"/>
          <w:szCs w:val="21"/>
        </w:rPr>
      </w:pPr>
      <w:r>
        <w:rPr>
          <w:rFonts w:hint="eastAsia"/>
          <w:b/>
          <w:bCs/>
          <w:sz w:val="21"/>
          <w:szCs w:val="21"/>
        </w:rPr>
        <w:t>说明：1、供应商为法人单位时提供“法定代表人身份证明书”，供应商为其他组织时提供“单位负责人身份证明书”。</w:t>
      </w:r>
    </w:p>
    <w:p>
      <w:pPr>
        <w:ind w:firstLine="422"/>
        <w:rPr>
          <w:rFonts w:asciiTheme="minorEastAsia" w:hAnsiTheme="minorEastAsia" w:eastAsiaTheme="minorEastAsia" w:cstheme="minorEastAsia"/>
        </w:rPr>
      </w:pPr>
      <w:r>
        <w:rPr>
          <w:rFonts w:hint="eastAsia"/>
          <w:b/>
          <w:bCs/>
          <w:sz w:val="21"/>
          <w:szCs w:val="21"/>
        </w:rPr>
        <w:t>2、供应商应附法定代表人/单位负责人身份证复印件（身份证两面均应复印）或护照复印件（供应商的法定代表人/单位负责人为外籍人士的，则提供护照复印件）时才能生效。</w:t>
      </w:r>
    </w:p>
    <w:bookmarkEnd w:id="130"/>
    <w:p>
      <w:pPr>
        <w:ind w:firstLine="480"/>
        <w:rPr>
          <w:rFonts w:asciiTheme="minorEastAsia" w:hAnsiTheme="minorEastAsia" w:eastAsiaTheme="minorEastAsia" w:cstheme="minorEastAsia"/>
        </w:rPr>
      </w:pPr>
      <w:bookmarkStart w:id="132" w:name="_Toc2564"/>
      <w:r>
        <w:rPr>
          <w:rFonts w:hint="eastAsia" w:asciiTheme="minorEastAsia" w:hAnsiTheme="minorEastAsia" w:eastAsiaTheme="minorEastAsia" w:cstheme="minorEastAsia"/>
        </w:rPr>
        <w:br w:type="page"/>
      </w:r>
    </w:p>
    <w:p>
      <w:pPr>
        <w:pStyle w:val="5"/>
      </w:pPr>
      <w:r>
        <w:rPr>
          <w:rFonts w:hint="eastAsia"/>
        </w:rPr>
        <w:t>5.1.</w:t>
      </w:r>
      <w:bookmarkEnd w:id="132"/>
      <w:r>
        <w:rPr>
          <w:rFonts w:hint="eastAsia"/>
        </w:rPr>
        <w:t>4法定代表人/单位负责人授权书</w:t>
      </w:r>
    </w:p>
    <w:p>
      <w:pPr>
        <w:adjustRightInd w:val="0"/>
        <w:snapToGrid w:val="0"/>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bCs/>
          <w:u w:val="single"/>
        </w:rPr>
        <w:t>四川天力招标有限责任公司</w:t>
      </w:r>
      <w:r>
        <w:rPr>
          <w:rFonts w:hint="eastAsia" w:asciiTheme="minorEastAsia" w:hAnsiTheme="minorEastAsia" w:eastAsiaTheme="minorEastAsia" w:cstheme="minorEastAsia"/>
        </w:rPr>
        <w:t>：</w:t>
      </w:r>
    </w:p>
    <w:p>
      <w:pPr>
        <w:adjustRightInd w:val="0"/>
        <w:snapToGrid w:val="0"/>
        <w:spacing w:line="360" w:lineRule="auto"/>
        <w:ind w:firstLine="480"/>
      </w:pPr>
      <w:r>
        <w:rPr>
          <w:rFonts w:hint="eastAsia"/>
        </w:rPr>
        <w:t>本授权声明：（单位名称）（法定代表人/单位负责人姓名、职务）授权（被授权人姓名、职务）为我方参加</w:t>
      </w:r>
      <w:r>
        <w:rPr>
          <w:rFonts w:hint="eastAsia"/>
          <w:u w:val="single"/>
        </w:rPr>
        <w:t xml:space="preserve">            </w:t>
      </w:r>
      <w:r>
        <w:rPr>
          <w:rFonts w:hint="eastAsia"/>
        </w:rPr>
        <w:t>（项目编号：</w:t>
      </w:r>
      <w:r>
        <w:rPr>
          <w:rFonts w:hint="eastAsia"/>
          <w:u w:val="single"/>
        </w:rPr>
        <w:t xml:space="preserve">       </w:t>
      </w:r>
      <w:r>
        <w:rPr>
          <w:rFonts w:hint="eastAsia"/>
        </w:rPr>
        <w:t>）磋商采购活动的合法代表，以我方名义全权处理该项目有关磋商、报价、签订合同以及执行合同等一切事宜。授权代理人无转让委托权。</w:t>
      </w:r>
    </w:p>
    <w:p>
      <w:pPr>
        <w:snapToGrid w:val="0"/>
        <w:spacing w:line="360" w:lineRule="auto"/>
        <w:ind w:firstLine="480"/>
        <w:rPr>
          <w:rFonts w:ascii="Times New Roman" w:eastAsia="仿宋"/>
        </w:rPr>
      </w:pPr>
      <w:r>
        <w:rPr>
          <w:rFonts w:hint="eastAsia"/>
        </w:rPr>
        <w:t>本授权书有效期自签署之日起至本项目磋商文件规定的磋商有效期结束止。</w:t>
      </w:r>
    </w:p>
    <w:p>
      <w:pPr>
        <w:adjustRightInd w:val="0"/>
        <w:snapToGrid w:val="0"/>
        <w:spacing w:line="360" w:lineRule="auto"/>
        <w:ind w:firstLine="480"/>
      </w:pPr>
    </w:p>
    <w:p>
      <w:pPr>
        <w:adjustRightInd w:val="0"/>
        <w:snapToGrid w:val="0"/>
        <w:spacing w:line="360" w:lineRule="auto"/>
        <w:ind w:firstLine="480"/>
      </w:pPr>
      <w:r>
        <w:rPr>
          <w:rFonts w:hint="eastAsia"/>
        </w:rPr>
        <w:t>特此声明。</w:t>
      </w:r>
    </w:p>
    <w:p>
      <w:pPr>
        <w:adjustRightInd w:val="0"/>
        <w:snapToGrid w:val="0"/>
        <w:spacing w:line="360" w:lineRule="auto"/>
        <w:ind w:firstLine="480"/>
        <w:rPr>
          <w:rFonts w:asciiTheme="minorEastAsia" w:hAnsiTheme="minorEastAsia" w:eastAsiaTheme="minorEastAsia" w:cstheme="minorEastAsia"/>
        </w:rPr>
      </w:pPr>
    </w:p>
    <w:p>
      <w:pPr>
        <w:adjustRightInd w:val="0"/>
        <w:snapToGrid w:val="0"/>
        <w:spacing w:line="360" w:lineRule="auto"/>
        <w:ind w:firstLine="480"/>
        <w:rPr>
          <w:rFonts w:asciiTheme="minorEastAsia" w:hAnsiTheme="minorEastAsia" w:eastAsiaTheme="minorEastAsia" w:cstheme="minorEastAsia"/>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w:t>
      </w:r>
      <w:r>
        <w:rPr>
          <w:rFonts w:hint="eastAsia"/>
        </w:rPr>
        <w:t>（单位负责人）</w:t>
      </w:r>
      <w:r>
        <w:rPr>
          <w:rFonts w:hint="eastAsia" w:asciiTheme="minorEastAsia" w:hAnsiTheme="minorEastAsia" w:eastAsiaTheme="minorEastAsia" w:cstheme="minorEastAsia"/>
        </w:rPr>
        <w:t>（签字或盖章）：</w:t>
      </w:r>
      <w:r>
        <w:rPr>
          <w:rFonts w:hint="eastAsia" w:asciiTheme="minorEastAsia" w:hAnsiTheme="minorEastAsia" w:eastAsiaTheme="minorEastAsia" w:cstheme="minorEastAsia"/>
          <w:u w:val="single"/>
        </w:rPr>
        <w:t xml:space="preserve">             </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职    务：</w:t>
      </w:r>
      <w:r>
        <w:rPr>
          <w:rFonts w:hint="eastAsia" w:asciiTheme="minorEastAsia" w:hAnsiTheme="minorEastAsia" w:eastAsiaTheme="minorEastAsia" w:cstheme="minorEastAsia"/>
          <w:u w:val="single"/>
        </w:rPr>
        <w:t xml:space="preserve">            </w:t>
      </w:r>
    </w:p>
    <w:p>
      <w:pPr>
        <w:adjustRightInd w:val="0"/>
        <w:snapToGrid w:val="0"/>
        <w:spacing w:line="360" w:lineRule="auto"/>
        <w:ind w:firstLine="480"/>
        <w:rPr>
          <w:rFonts w:asciiTheme="minorEastAsia" w:hAnsiTheme="minorEastAsia" w:eastAsiaTheme="minorEastAsia" w:cstheme="minorEastAsia"/>
          <w:u w:val="single"/>
        </w:rPr>
      </w:pPr>
      <w:r>
        <w:rPr>
          <w:rFonts w:hint="eastAsia" w:asciiTheme="minorEastAsia" w:hAnsiTheme="minorEastAsia" w:eastAsiaTheme="minorEastAsia" w:cstheme="minorEastAsia"/>
        </w:rPr>
        <w:t>被授权人签字：</w:t>
      </w:r>
      <w:r>
        <w:rPr>
          <w:rFonts w:hint="eastAsia" w:asciiTheme="minorEastAsia" w:hAnsiTheme="minorEastAsia" w:eastAsiaTheme="minorEastAsia" w:cstheme="minorEastAsia"/>
          <w:u w:val="single"/>
        </w:rPr>
        <w:t xml:space="preserve">            </w:t>
      </w:r>
    </w:p>
    <w:p>
      <w:pPr>
        <w:adjustRightInd w:val="0"/>
        <w:snapToGrid w:val="0"/>
        <w:spacing w:line="360" w:lineRule="auto"/>
        <w:ind w:firstLine="480"/>
        <w:rPr>
          <w:rFonts w:asciiTheme="minorEastAsia" w:hAnsiTheme="minorEastAsia" w:eastAsiaTheme="minorEastAsia" w:cstheme="minorEastAsia"/>
          <w:u w:val="single"/>
        </w:rPr>
      </w:pPr>
      <w:r>
        <w:rPr>
          <w:rFonts w:hint="eastAsia" w:asciiTheme="minorEastAsia" w:hAnsiTheme="minorEastAsia" w:eastAsiaTheme="minorEastAsia" w:cstheme="minorEastAsia"/>
        </w:rPr>
        <w:t>职    务：</w:t>
      </w:r>
      <w:r>
        <w:rPr>
          <w:rFonts w:hint="eastAsia" w:asciiTheme="minorEastAsia" w:hAnsiTheme="minorEastAsia" w:eastAsiaTheme="minorEastAsia" w:cstheme="minorEastAsia"/>
          <w:u w:val="single"/>
        </w:rPr>
        <w:t xml:space="preserve">            </w:t>
      </w:r>
    </w:p>
    <w:p>
      <w:pPr>
        <w:adjustRightInd w:val="0"/>
        <w:snapToGrid w:val="0"/>
        <w:spacing w:line="360" w:lineRule="auto"/>
        <w:ind w:firstLine="480"/>
        <w:rPr>
          <w:rFonts w:asciiTheme="minorEastAsia" w:hAnsiTheme="minorEastAsia" w:eastAsiaTheme="minorEastAsia" w:cstheme="minorEastAsia"/>
          <w:b/>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2"/>
        <w:rPr>
          <w:rFonts w:asciiTheme="minorEastAsia" w:hAnsiTheme="minorEastAsia" w:eastAsiaTheme="minorEastAsia" w:cstheme="minorEastAsia"/>
          <w:b/>
          <w:color w:val="auto"/>
          <w:szCs w:val="24"/>
        </w:rPr>
      </w:pPr>
    </w:p>
    <w:p>
      <w:pPr>
        <w:pStyle w:val="28"/>
        <w:adjustRightInd w:val="0"/>
        <w:snapToGrid w:val="0"/>
        <w:spacing w:line="360" w:lineRule="auto"/>
        <w:ind w:firstLine="0" w:firstLineChars="0"/>
        <w:rPr>
          <w:rFonts w:asciiTheme="minorEastAsia" w:hAnsiTheme="minorEastAsia" w:eastAsiaTheme="minorEastAsia" w:cstheme="minorEastAsia"/>
          <w:b/>
          <w:szCs w:val="21"/>
        </w:rPr>
      </w:pPr>
    </w:p>
    <w:p>
      <w:pPr>
        <w:ind w:firstLine="422"/>
        <w:rPr>
          <w:b/>
          <w:bCs/>
          <w:sz w:val="21"/>
          <w:szCs w:val="21"/>
        </w:rPr>
      </w:pPr>
      <w:r>
        <w:rPr>
          <w:rFonts w:hint="eastAsia"/>
          <w:b/>
          <w:bCs/>
          <w:sz w:val="21"/>
          <w:szCs w:val="21"/>
          <w:lang w:val="zh-CN"/>
        </w:rPr>
        <w:t>说明：</w:t>
      </w:r>
    </w:p>
    <w:p>
      <w:pPr>
        <w:ind w:firstLine="422"/>
        <w:rPr>
          <w:b/>
          <w:bCs/>
          <w:sz w:val="21"/>
          <w:szCs w:val="21"/>
          <w:lang w:val="zh-CN"/>
        </w:rPr>
      </w:pPr>
      <w:r>
        <w:rPr>
          <w:rFonts w:hint="eastAsia"/>
          <w:b/>
          <w:bCs/>
          <w:sz w:val="21"/>
          <w:szCs w:val="21"/>
        </w:rPr>
        <w:t>1.</w:t>
      </w:r>
      <w:r>
        <w:rPr>
          <w:rFonts w:hint="eastAsia"/>
          <w:b/>
          <w:bCs/>
          <w:sz w:val="21"/>
          <w:szCs w:val="21"/>
          <w:lang w:val="zh-CN"/>
        </w:rPr>
        <w:t>供应商为法人单位时提供“法定代表人授权书”，供应商为其他组织时提供“单位负责人授权书”。</w:t>
      </w:r>
    </w:p>
    <w:p>
      <w:pPr>
        <w:ind w:firstLine="422"/>
        <w:rPr>
          <w:b/>
          <w:bCs/>
          <w:sz w:val="21"/>
          <w:szCs w:val="21"/>
        </w:rPr>
      </w:pPr>
      <w:r>
        <w:rPr>
          <w:rFonts w:hint="eastAsia"/>
          <w:b/>
          <w:bCs/>
          <w:sz w:val="21"/>
          <w:szCs w:val="21"/>
        </w:rPr>
        <w:t>2.</w:t>
      </w:r>
      <w:r>
        <w:rPr>
          <w:rFonts w:hint="eastAsia"/>
          <w:b/>
          <w:bCs/>
          <w:sz w:val="21"/>
          <w:szCs w:val="21"/>
          <w:lang w:val="zh-CN"/>
        </w:rPr>
        <w:t>上述证明文件</w:t>
      </w:r>
      <w:r>
        <w:rPr>
          <w:rFonts w:hint="eastAsia"/>
          <w:b/>
          <w:bCs/>
          <w:sz w:val="21"/>
          <w:szCs w:val="21"/>
        </w:rPr>
        <w:t>应</w:t>
      </w:r>
      <w:r>
        <w:rPr>
          <w:rFonts w:hint="eastAsia"/>
          <w:b/>
          <w:bCs/>
          <w:sz w:val="21"/>
          <w:szCs w:val="21"/>
          <w:lang w:val="zh-CN"/>
        </w:rPr>
        <w:t>附有授权代表身份证复印件（身份证两面均应复印）时才能生效</w:t>
      </w:r>
      <w:r>
        <w:rPr>
          <w:rFonts w:hint="eastAsia"/>
          <w:b/>
          <w:bCs/>
          <w:sz w:val="21"/>
          <w:szCs w:val="21"/>
        </w:rPr>
        <w:t>。</w:t>
      </w:r>
    </w:p>
    <w:p>
      <w:pPr>
        <w:ind w:firstLine="422"/>
        <w:rPr>
          <w:b/>
          <w:bCs/>
          <w:sz w:val="21"/>
          <w:szCs w:val="21"/>
        </w:rPr>
      </w:pPr>
      <w:r>
        <w:rPr>
          <w:rFonts w:hint="eastAsia"/>
          <w:b/>
          <w:bCs/>
          <w:sz w:val="21"/>
          <w:szCs w:val="21"/>
        </w:rPr>
        <w:t>3.响应文件均由供应商法定代表人（单位负责人）签字的,响应文件中可不提供该附件的内容。</w:t>
      </w:r>
    </w:p>
    <w:p>
      <w:pPr>
        <w:ind w:firstLine="422"/>
        <w:rPr>
          <w:b/>
          <w:bCs/>
          <w:sz w:val="21"/>
          <w:szCs w:val="21"/>
        </w:rPr>
      </w:pPr>
      <w:r>
        <w:rPr>
          <w:rFonts w:hint="eastAsia"/>
          <w:b/>
          <w:bCs/>
          <w:sz w:val="21"/>
          <w:szCs w:val="21"/>
        </w:rPr>
        <w:t>4.两家以上的供应商不得在同一合同项下的采购项目中，委托同一个自然人、同一家庭的人员、同一单位的人员作为其授权代表，否则，其响应文件作为无效处理。</w:t>
      </w:r>
    </w:p>
    <w:p>
      <w:pPr>
        <w:ind w:firstLine="480"/>
      </w:pPr>
      <w:bookmarkStart w:id="133" w:name="_Toc28657"/>
      <w:bookmarkStart w:id="134" w:name="_Toc12581"/>
      <w:bookmarkStart w:id="135" w:name="_Toc28281"/>
      <w:bookmarkStart w:id="136" w:name="_Toc320698768"/>
      <w:bookmarkStart w:id="137" w:name="_Toc31505"/>
    </w:p>
    <w:p>
      <w:pPr>
        <w:ind w:firstLine="480"/>
      </w:pPr>
    </w:p>
    <w:p>
      <w:pPr>
        <w:pStyle w:val="5"/>
      </w:pPr>
      <w:r>
        <w:rPr>
          <w:rFonts w:hint="eastAsia"/>
        </w:rPr>
        <w:t>5.1.</w:t>
      </w:r>
      <w:r>
        <w:rPr>
          <w:rFonts w:hint="eastAsia"/>
          <w:lang w:val="en-US" w:eastAsia="zh-CN"/>
        </w:rPr>
        <w:t>5</w:t>
      </w:r>
      <w:r>
        <w:rPr>
          <w:rFonts w:hint="eastAsia"/>
        </w:rPr>
        <w:t>联合体磋商协议</w:t>
      </w:r>
    </w:p>
    <w:p>
      <w:pPr>
        <w:widowControl w:val="0"/>
        <w:wordWrap w:val="0"/>
        <w:adjustRightInd w:val="0"/>
        <w:snapToGrid w:val="0"/>
        <w:spacing w:line="360" w:lineRule="auto"/>
        <w:ind w:firstLine="482"/>
        <w:rPr>
          <w:bCs/>
        </w:rPr>
      </w:pPr>
      <w:r>
        <w:rPr>
          <w:rFonts w:hint="eastAsia"/>
          <w:b/>
        </w:rPr>
        <w:t xml:space="preserve"> </w:t>
      </w:r>
      <w:r>
        <w:rPr>
          <w:rFonts w:hint="eastAsia"/>
          <w:b/>
          <w:u w:val="single"/>
        </w:rPr>
        <w:t xml:space="preserve">            </w:t>
      </w:r>
      <w:r>
        <w:rPr>
          <w:rFonts w:hint="eastAsia"/>
          <w:bCs/>
          <w:u w:val="single"/>
        </w:rPr>
        <w:t>（所有成员单位名称）</w:t>
      </w:r>
      <w:r>
        <w:rPr>
          <w:rFonts w:hint="eastAsia"/>
          <w:bCs/>
        </w:rPr>
        <w:t>自愿组成</w:t>
      </w:r>
      <w:r>
        <w:rPr>
          <w:rFonts w:hint="eastAsia"/>
          <w:bCs/>
          <w:u w:val="single"/>
        </w:rPr>
        <w:t xml:space="preserve">     （联合体名称）</w:t>
      </w:r>
      <w:r>
        <w:rPr>
          <w:rFonts w:hint="eastAsia"/>
          <w:bCs/>
        </w:rPr>
        <w:t>联合体，共同参加</w:t>
      </w:r>
      <w:r>
        <w:rPr>
          <w:rFonts w:hint="eastAsia"/>
          <w:bCs/>
          <w:u w:val="single"/>
        </w:rPr>
        <w:t xml:space="preserve">       （项目名称） </w:t>
      </w:r>
      <w:r>
        <w:rPr>
          <w:rFonts w:hint="eastAsia"/>
          <w:bCs/>
        </w:rPr>
        <w:t>的磋商。现就联合体磋商事宜订立如下协议。</w:t>
      </w:r>
    </w:p>
    <w:p>
      <w:pPr>
        <w:widowControl w:val="0"/>
        <w:wordWrap w:val="0"/>
        <w:adjustRightInd w:val="0"/>
        <w:snapToGrid w:val="0"/>
        <w:spacing w:line="360" w:lineRule="auto"/>
        <w:ind w:firstLine="480"/>
        <w:rPr>
          <w:bCs/>
        </w:rPr>
      </w:pPr>
      <w:r>
        <w:rPr>
          <w:rFonts w:hint="eastAsia"/>
          <w:bCs/>
        </w:rPr>
        <w:t>1、</w:t>
      </w:r>
      <w:r>
        <w:rPr>
          <w:rFonts w:hint="eastAsia"/>
          <w:bCs/>
          <w:u w:val="single"/>
        </w:rPr>
        <w:t xml:space="preserve">       （某成员单位名称）</w:t>
      </w:r>
      <w:r>
        <w:rPr>
          <w:rFonts w:hint="eastAsia"/>
          <w:bCs/>
        </w:rPr>
        <w:t>为</w:t>
      </w:r>
      <w:r>
        <w:rPr>
          <w:rFonts w:hint="eastAsia"/>
          <w:bCs/>
          <w:u w:val="single"/>
        </w:rPr>
        <w:t xml:space="preserve">      （联合体名称）</w:t>
      </w:r>
      <w:r>
        <w:rPr>
          <w:rFonts w:hint="eastAsia"/>
          <w:bCs/>
        </w:rPr>
        <w:t>牵头人。</w:t>
      </w:r>
    </w:p>
    <w:p>
      <w:pPr>
        <w:widowControl w:val="0"/>
        <w:adjustRightInd w:val="0"/>
        <w:snapToGrid w:val="0"/>
        <w:spacing w:line="360" w:lineRule="auto"/>
        <w:ind w:firstLine="480"/>
        <w:rPr>
          <w:bCs/>
        </w:rPr>
      </w:pPr>
      <w:r>
        <w:rPr>
          <w:rFonts w:hint="eastAsia"/>
          <w:bCs/>
        </w:rPr>
        <w:t>2、联合体牵头人合法代表联合体各成员负责本项目响应文件编制和签订合同等活动，代表联合体提交和接收相关的资料、信息及指示，处理与之有关的一切事务，并负责合同实施阶段的主办、组织和协调工作。</w:t>
      </w:r>
    </w:p>
    <w:p>
      <w:pPr>
        <w:widowControl w:val="0"/>
        <w:adjustRightInd w:val="0"/>
        <w:snapToGrid w:val="0"/>
        <w:spacing w:line="360" w:lineRule="auto"/>
        <w:ind w:firstLine="480"/>
        <w:rPr>
          <w:bCs/>
        </w:rPr>
      </w:pPr>
      <w:r>
        <w:rPr>
          <w:rFonts w:hint="eastAsia"/>
          <w:bCs/>
        </w:rPr>
        <w:t>3、联合体将严格按照磋商文件的各项要求，递交响应文件，履行合同，并对外承担连带责任。</w:t>
      </w:r>
    </w:p>
    <w:p>
      <w:pPr>
        <w:widowControl w:val="0"/>
        <w:adjustRightInd w:val="0"/>
        <w:snapToGrid w:val="0"/>
        <w:spacing w:line="360" w:lineRule="auto"/>
        <w:ind w:firstLine="480"/>
        <w:rPr>
          <w:bCs/>
        </w:rPr>
      </w:pPr>
      <w:r>
        <w:rPr>
          <w:rFonts w:hint="eastAsia"/>
          <w:bCs/>
        </w:rPr>
        <w:t>4</w:t>
      </w:r>
      <w:r>
        <w:rPr>
          <w:rFonts w:hint="eastAsia"/>
          <w:bCs/>
          <w:lang w:eastAsia="zh-CN"/>
        </w:rPr>
        <w:t>、</w:t>
      </w:r>
      <w:r>
        <w:rPr>
          <w:rFonts w:hint="eastAsia"/>
          <w:bCs/>
        </w:rPr>
        <w:t>联合体各成员单位内部的职责分工如下：</w:t>
      </w:r>
      <w:r>
        <w:rPr>
          <w:rFonts w:hint="eastAsia"/>
          <w:bCs/>
          <w:u w:val="single"/>
        </w:rPr>
        <w:t xml:space="preserve">                            </w:t>
      </w:r>
      <w:r>
        <w:rPr>
          <w:rFonts w:hint="eastAsia"/>
          <w:bCs/>
        </w:rPr>
        <w:t>。</w:t>
      </w:r>
    </w:p>
    <w:p>
      <w:pPr>
        <w:pStyle w:val="2"/>
        <w:autoSpaceDE/>
        <w:autoSpaceDN/>
        <w:snapToGrid w:val="0"/>
        <w:spacing w:line="360" w:lineRule="auto"/>
        <w:ind w:firstLine="480" w:firstLineChars="200"/>
        <w:rPr>
          <w:rFonts w:ascii="宋体" w:hAnsi="宋体" w:eastAsia="宋体" w:cs="宋体"/>
          <w:color w:val="auto"/>
          <w:szCs w:val="24"/>
          <w:u w:val="single"/>
        </w:rPr>
      </w:pPr>
      <w:r>
        <w:rPr>
          <w:rFonts w:hint="eastAsia" w:ascii="宋体" w:hAnsi="宋体" w:eastAsia="宋体" w:cs="宋体"/>
          <w:color w:val="auto"/>
          <w:szCs w:val="24"/>
        </w:rPr>
        <w:t>5、联合体各成员单位协议合同金额的分配比例为：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p>
    <w:p>
      <w:pPr>
        <w:widowControl w:val="0"/>
        <w:adjustRightInd w:val="0"/>
        <w:snapToGrid w:val="0"/>
        <w:spacing w:line="360" w:lineRule="auto"/>
        <w:ind w:firstLine="480"/>
        <w:rPr>
          <w:bCs/>
        </w:rPr>
      </w:pPr>
      <w:r>
        <w:rPr>
          <w:rFonts w:hint="eastAsia"/>
          <w:bCs/>
        </w:rPr>
        <w:t>6、本协议自签署之日起生效，合同履行完毕后自动失效。</w:t>
      </w:r>
    </w:p>
    <w:p>
      <w:pPr>
        <w:widowControl w:val="0"/>
        <w:adjustRightInd w:val="0"/>
        <w:snapToGrid w:val="0"/>
        <w:spacing w:line="360" w:lineRule="auto"/>
        <w:ind w:firstLine="480"/>
        <w:rPr>
          <w:bCs/>
        </w:rPr>
      </w:pPr>
      <w:r>
        <w:rPr>
          <w:rFonts w:hint="eastAsia"/>
          <w:bCs/>
        </w:rPr>
        <w:t>7、本协议书一式</w:t>
      </w:r>
      <w:r>
        <w:rPr>
          <w:rFonts w:hint="eastAsia"/>
          <w:bCs/>
          <w:u w:val="single"/>
        </w:rPr>
        <w:t xml:space="preserve">     </w:t>
      </w:r>
      <w:r>
        <w:rPr>
          <w:rFonts w:hint="eastAsia"/>
          <w:bCs/>
        </w:rPr>
        <w:t>份，联合体成员和采购人各执</w:t>
      </w:r>
      <w:r>
        <w:rPr>
          <w:rFonts w:hint="eastAsia"/>
          <w:bCs/>
          <w:u w:val="single"/>
        </w:rPr>
        <w:t xml:space="preserve">    </w:t>
      </w:r>
      <w:r>
        <w:rPr>
          <w:rFonts w:hint="eastAsia"/>
          <w:bCs/>
        </w:rPr>
        <w:t>份。</w:t>
      </w:r>
    </w:p>
    <w:p>
      <w:pPr>
        <w:pStyle w:val="2"/>
        <w:autoSpaceDE/>
        <w:autoSpaceDN/>
        <w:snapToGrid w:val="0"/>
        <w:spacing w:line="360" w:lineRule="auto"/>
        <w:ind w:firstLine="480" w:firstLineChars="200"/>
        <w:rPr>
          <w:rFonts w:ascii="宋体" w:hAnsi="宋体" w:eastAsia="宋体" w:cs="宋体"/>
          <w:bCs/>
          <w:color w:val="auto"/>
          <w:szCs w:val="24"/>
        </w:rPr>
      </w:pPr>
      <w:r>
        <w:rPr>
          <w:rFonts w:hint="eastAsia" w:ascii="宋体" w:hAnsi="宋体" w:eastAsia="宋体" w:cs="宋体"/>
          <w:bCs/>
          <w:color w:val="auto"/>
          <w:szCs w:val="24"/>
        </w:rPr>
        <w:t>8、其他（如有）</w:t>
      </w:r>
      <w:r>
        <w:rPr>
          <w:rFonts w:hint="eastAsia" w:ascii="宋体" w:hAnsi="宋体" w:eastAsia="宋体" w:cs="宋体"/>
          <w:color w:val="auto"/>
          <w:szCs w:val="24"/>
        </w:rPr>
        <w:t>：</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p>
    <w:p>
      <w:pPr>
        <w:pStyle w:val="2"/>
        <w:spacing w:line="360" w:lineRule="auto"/>
        <w:rPr>
          <w:rFonts w:ascii="宋体" w:hAnsi="宋体" w:eastAsia="宋体" w:cs="宋体"/>
          <w:color w:val="auto"/>
          <w:szCs w:val="24"/>
        </w:rPr>
      </w:pPr>
    </w:p>
    <w:p>
      <w:pPr>
        <w:pStyle w:val="2"/>
        <w:spacing w:line="360" w:lineRule="auto"/>
        <w:ind w:firstLine="480" w:firstLineChars="200"/>
        <w:rPr>
          <w:rFonts w:ascii="宋体" w:hAnsi="宋体" w:eastAsia="宋体" w:cs="宋体"/>
          <w:color w:val="auto"/>
          <w:szCs w:val="24"/>
        </w:rPr>
      </w:pPr>
    </w:p>
    <w:p>
      <w:pPr>
        <w:widowControl w:val="0"/>
        <w:adjustRightInd w:val="0"/>
        <w:snapToGrid w:val="0"/>
        <w:spacing w:line="360" w:lineRule="auto"/>
        <w:ind w:firstLine="480"/>
        <w:rPr>
          <w:bCs/>
          <w:u w:val="single"/>
        </w:rPr>
      </w:pPr>
      <w:r>
        <w:rPr>
          <w:rFonts w:hint="eastAsia"/>
          <w:bCs/>
        </w:rPr>
        <w:t>牵头人名称：</w:t>
      </w:r>
      <w:r>
        <w:rPr>
          <w:rFonts w:hint="eastAsia"/>
          <w:bCs/>
          <w:u w:val="single"/>
        </w:rPr>
        <w:t xml:space="preserve">             （盖单位公章）</w:t>
      </w:r>
    </w:p>
    <w:p>
      <w:pPr>
        <w:widowControl w:val="0"/>
        <w:adjustRightInd w:val="0"/>
        <w:snapToGrid w:val="0"/>
        <w:spacing w:line="360" w:lineRule="auto"/>
        <w:ind w:firstLine="480"/>
        <w:rPr>
          <w:bCs/>
        </w:rPr>
      </w:pPr>
      <w:r>
        <w:rPr>
          <w:rFonts w:hint="eastAsia"/>
          <w:bCs/>
        </w:rPr>
        <w:t>法定代表人（单位负责人）：</w:t>
      </w:r>
      <w:r>
        <w:rPr>
          <w:rFonts w:hint="eastAsia"/>
          <w:bCs/>
          <w:u w:val="single"/>
        </w:rPr>
        <w:t xml:space="preserve">           （签字）</w:t>
      </w:r>
    </w:p>
    <w:p>
      <w:pPr>
        <w:widowControl w:val="0"/>
        <w:adjustRightInd w:val="0"/>
        <w:snapToGrid w:val="0"/>
        <w:spacing w:line="360" w:lineRule="auto"/>
        <w:ind w:firstLine="480"/>
        <w:rPr>
          <w:bCs/>
        </w:rPr>
      </w:pPr>
    </w:p>
    <w:p>
      <w:pPr>
        <w:widowControl w:val="0"/>
        <w:adjustRightInd w:val="0"/>
        <w:snapToGrid w:val="0"/>
        <w:spacing w:line="360" w:lineRule="auto"/>
        <w:ind w:firstLine="480"/>
        <w:rPr>
          <w:bCs/>
          <w:u w:val="single"/>
        </w:rPr>
      </w:pPr>
      <w:r>
        <w:rPr>
          <w:rFonts w:hint="eastAsia"/>
          <w:bCs/>
        </w:rPr>
        <w:t>成员一名称：</w:t>
      </w:r>
      <w:r>
        <w:rPr>
          <w:rFonts w:hint="eastAsia"/>
          <w:bCs/>
          <w:u w:val="single"/>
        </w:rPr>
        <w:t xml:space="preserve">             （盖单位公章）</w:t>
      </w:r>
    </w:p>
    <w:p>
      <w:pPr>
        <w:widowControl w:val="0"/>
        <w:adjustRightInd w:val="0"/>
        <w:snapToGrid w:val="0"/>
        <w:spacing w:line="360" w:lineRule="auto"/>
        <w:ind w:firstLine="480"/>
        <w:rPr>
          <w:bCs/>
          <w:u w:val="single"/>
        </w:rPr>
      </w:pPr>
      <w:r>
        <w:rPr>
          <w:rFonts w:hint="eastAsia"/>
          <w:bCs/>
        </w:rPr>
        <w:t>法定代表人（单位负责人）：</w:t>
      </w:r>
      <w:r>
        <w:rPr>
          <w:rFonts w:hint="eastAsia"/>
          <w:bCs/>
          <w:u w:val="single"/>
        </w:rPr>
        <w:t xml:space="preserve">             （签字）</w:t>
      </w:r>
    </w:p>
    <w:p>
      <w:pPr>
        <w:widowControl w:val="0"/>
        <w:adjustRightInd w:val="0"/>
        <w:snapToGrid w:val="0"/>
        <w:spacing w:line="360" w:lineRule="auto"/>
        <w:ind w:firstLine="480"/>
        <w:rPr>
          <w:bCs/>
          <w:u w:val="single"/>
        </w:rPr>
      </w:pPr>
    </w:p>
    <w:p>
      <w:pPr>
        <w:widowControl w:val="0"/>
        <w:adjustRightInd w:val="0"/>
        <w:snapToGrid w:val="0"/>
        <w:spacing w:line="360" w:lineRule="auto"/>
        <w:ind w:firstLine="480"/>
        <w:rPr>
          <w:bCs/>
          <w:u w:val="single"/>
        </w:rPr>
      </w:pPr>
      <w:r>
        <w:rPr>
          <w:rFonts w:hint="eastAsia"/>
          <w:bCs/>
        </w:rPr>
        <w:t>成员二名称：</w:t>
      </w:r>
      <w:r>
        <w:rPr>
          <w:rFonts w:hint="eastAsia"/>
          <w:bCs/>
          <w:u w:val="single"/>
        </w:rPr>
        <w:t xml:space="preserve">             （盖单位公章）</w:t>
      </w:r>
    </w:p>
    <w:p>
      <w:pPr>
        <w:widowControl w:val="0"/>
        <w:adjustRightInd w:val="0"/>
        <w:snapToGrid w:val="0"/>
        <w:spacing w:line="360" w:lineRule="auto"/>
        <w:ind w:firstLine="480"/>
        <w:rPr>
          <w:bCs/>
          <w:u w:val="single"/>
        </w:rPr>
      </w:pPr>
      <w:r>
        <w:rPr>
          <w:rFonts w:hint="eastAsia"/>
          <w:bCs/>
        </w:rPr>
        <w:t>法定代表人（单位负责人）：</w:t>
      </w:r>
      <w:r>
        <w:rPr>
          <w:rFonts w:hint="eastAsia"/>
          <w:bCs/>
          <w:u w:val="single"/>
        </w:rPr>
        <w:t xml:space="preserve">             （签字）</w:t>
      </w:r>
    </w:p>
    <w:p>
      <w:pPr>
        <w:widowControl w:val="0"/>
        <w:adjustRightInd w:val="0"/>
        <w:snapToGrid w:val="0"/>
        <w:spacing w:line="360" w:lineRule="auto"/>
        <w:ind w:firstLine="480"/>
        <w:rPr>
          <w:bCs/>
        </w:rPr>
      </w:pPr>
    </w:p>
    <w:p>
      <w:pPr>
        <w:widowControl w:val="0"/>
        <w:adjustRightInd w:val="0"/>
        <w:snapToGrid w:val="0"/>
        <w:spacing w:line="360" w:lineRule="auto"/>
        <w:ind w:firstLine="480"/>
        <w:rPr>
          <w:bCs/>
        </w:rPr>
      </w:pPr>
      <w:r>
        <w:rPr>
          <w:rFonts w:hint="eastAsia"/>
          <w:bCs/>
        </w:rPr>
        <w:t>……</w:t>
      </w:r>
    </w:p>
    <w:p>
      <w:pPr>
        <w:widowControl w:val="0"/>
        <w:adjustRightInd w:val="0"/>
        <w:snapToGrid w:val="0"/>
        <w:spacing w:line="360" w:lineRule="auto"/>
        <w:ind w:firstLine="480"/>
        <w:rPr>
          <w:bCs/>
        </w:rPr>
      </w:pPr>
      <w:r>
        <w:rPr>
          <w:rFonts w:hint="eastAsia"/>
          <w:bCs/>
        </w:rPr>
        <w:t xml:space="preserve">                </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 xml:space="preserve">日 </w:t>
      </w:r>
    </w:p>
    <w:p>
      <w:pPr>
        <w:rPr>
          <w:rFonts w:hint="eastAsia"/>
        </w:rPr>
      </w:pPr>
      <w:r>
        <w:rPr>
          <w:rFonts w:hint="eastAsia"/>
        </w:rPr>
        <w:br w:type="page"/>
      </w:r>
    </w:p>
    <w:p>
      <w:pPr>
        <w:pStyle w:val="5"/>
      </w:pPr>
      <w:r>
        <w:rPr>
          <w:rFonts w:hint="eastAsia"/>
        </w:rPr>
        <w:t>5.1.</w:t>
      </w:r>
      <w:r>
        <w:rPr>
          <w:rFonts w:hint="eastAsia"/>
          <w:lang w:val="en-US" w:eastAsia="zh-CN"/>
        </w:rPr>
        <w:t>6</w:t>
      </w:r>
      <w:r>
        <w:rPr>
          <w:rFonts w:hint="eastAsia"/>
        </w:rPr>
        <w:t>承诺函</w:t>
      </w:r>
    </w:p>
    <w:p>
      <w:pPr>
        <w:adjustRightInd w:val="0"/>
        <w:snapToGrid w:val="0"/>
        <w:spacing w:line="360" w:lineRule="auto"/>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致：四川天力招标有限责任公司</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我单位作为本次采购项目的供应商，根据磋商文件要求，现郑重承诺具备本项目规定的如下条件：</w:t>
      </w:r>
    </w:p>
    <w:p>
      <w:pPr>
        <w:widowControl w:val="0"/>
        <w:adjustRightInd w:val="0"/>
        <w:snapToGrid w:val="0"/>
        <w:spacing w:line="360" w:lineRule="auto"/>
        <w:ind w:firstLine="480"/>
        <w:rPr>
          <w:rFonts w:asciiTheme="minorEastAsia" w:hAnsiTheme="minorEastAsia" w:eastAsiaTheme="minorEastAsia" w:cstheme="minorEastAsia"/>
        </w:rPr>
      </w:pPr>
      <w:bookmarkStart w:id="138" w:name="_Toc12993"/>
      <w:bookmarkStart w:id="139" w:name="_Toc17346"/>
      <w:bookmarkStart w:id="140" w:name="_Toc24916"/>
      <w:r>
        <w:rPr>
          <w:rFonts w:hint="eastAsia" w:asciiTheme="minorEastAsia" w:hAnsiTheme="minorEastAsia" w:eastAsiaTheme="minorEastAsia" w:cstheme="minorEastAsia"/>
        </w:rPr>
        <w:t>一、具备本项目规定的条件：</w:t>
      </w:r>
    </w:p>
    <w:p>
      <w:pPr>
        <w:widowControl w:val="0"/>
        <w:adjustRightInd w:val="0"/>
        <w:snapToGrid w:val="0"/>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（一）具有独立承担民事责任的能力；</w:t>
      </w:r>
    </w:p>
    <w:p>
      <w:pPr>
        <w:widowControl w:val="0"/>
        <w:adjustRightInd w:val="0"/>
        <w:snapToGrid w:val="0"/>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（二）具有良好的商业信誉和健全的财务会计制度；</w:t>
      </w:r>
    </w:p>
    <w:p>
      <w:pPr>
        <w:widowControl w:val="0"/>
        <w:adjustRightInd w:val="0"/>
        <w:snapToGrid w:val="0"/>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（三）具有履行合同所必需的设备和专业技术能力；</w:t>
      </w:r>
    </w:p>
    <w:p>
      <w:pPr>
        <w:widowControl w:val="0"/>
        <w:adjustRightInd w:val="0"/>
        <w:snapToGrid w:val="0"/>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（四）有依法缴纳税收的良好记录；</w:t>
      </w:r>
    </w:p>
    <w:p>
      <w:pPr>
        <w:widowControl w:val="0"/>
        <w:adjustRightInd w:val="0"/>
        <w:snapToGrid w:val="0"/>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（五）参加采购活动前三年内，在经营活动中没有重大违法记录；</w:t>
      </w:r>
    </w:p>
    <w:p>
      <w:pPr>
        <w:widowControl w:val="0"/>
        <w:adjustRightInd w:val="0"/>
        <w:snapToGrid w:val="0"/>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（六）法律、行政法规规定的其他条件；</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二、完全接受和满足本项目磋商文件中规定的要求</w:t>
      </w:r>
      <w:r>
        <w:rPr>
          <w:rFonts w:hint="eastAsia" w:asciiTheme="minorEastAsia" w:hAnsiTheme="minorEastAsia" w:eastAsiaTheme="minorEastAsia" w:cstheme="minorEastAsia"/>
          <w:bCs/>
        </w:rPr>
        <w:t>（如合格的供应商、充分、公平竞争保障措施、响应文件有效期、</w:t>
      </w:r>
      <w:r>
        <w:rPr>
          <w:rFonts w:hint="eastAsia"/>
        </w:rPr>
        <w:t>知识产权、</w:t>
      </w:r>
      <w:r>
        <w:rPr>
          <w:rFonts w:hint="eastAsia" w:asciiTheme="minorEastAsia" w:hAnsiTheme="minorEastAsia" w:eastAsiaTheme="minorEastAsia" w:cstheme="minorEastAsia"/>
          <w:bCs/>
        </w:rPr>
        <w:t>磋商文件的构成、响应文件的组成、响应文件的语言、计量单位、报价货币、合同分包、合同转包、履约保证金等要求）</w:t>
      </w:r>
      <w:r>
        <w:rPr>
          <w:rFonts w:hint="eastAsia" w:asciiTheme="minorEastAsia" w:hAnsiTheme="minorEastAsia" w:eastAsiaTheme="minorEastAsia" w:cstheme="minorEastAsia"/>
        </w:rPr>
        <w:t>，如对磋商文件有异议，已经在递交响应文件截止时间届满前依法进行维权救济，不存在对磋商文件有异议的同时又参加磋商以求侥幸成交或者为实现其他非法目的的行为。</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三、在参加本次采购活动中，不存在与单位负责人为同一人或者存在直接控股、管理关系的其他供应商参与同一合同项下的采购活动的行为。</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四、在参加本次采购活动中，不存在和其他供应商在同一合同项下的采购项目中，同时委托同一个自然人、同一家庭的人员、同一单位的人员作为代理人的行为。</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五、响应文件中提供的任何资料和技术、服务、商务等响应承诺情况都是真实的、有效的、合法的。</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六、如果我方成交，成交后同意按磋商文件要求支付本项目代理服务费。</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本公司对上述承诺的内容事项真实性负责。如经查实上述承诺的内容事项存在虚假，我单位愿意接受以提供虚假材料谋取成交的法律责任。</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asciiTheme="minorEastAsia" w:hAnsiTheme="minorEastAsia" w:eastAsiaTheme="minorEastAsia" w:cstheme="minorEastAsia"/>
          <w:bCs/>
        </w:rPr>
        <w:t>法定代表人</w:t>
      </w:r>
      <w:r>
        <w:rPr>
          <w:rFonts w:hint="eastAsia"/>
          <w:bCs/>
        </w:rPr>
        <w:t>（单位负责人）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r>
        <w:rPr>
          <w:rFonts w:hint="eastAsia" w:asciiTheme="minorEastAsia" w:hAnsiTheme="minorEastAsia" w:eastAsiaTheme="minorEastAsia" w:cstheme="minorEastAsia"/>
          <w:b/>
        </w:rPr>
        <w:br w:type="page"/>
      </w:r>
    </w:p>
    <w:bookmarkEnd w:id="138"/>
    <w:bookmarkEnd w:id="139"/>
    <w:bookmarkEnd w:id="140"/>
    <w:p>
      <w:pPr>
        <w:pStyle w:val="5"/>
      </w:pPr>
      <w:r>
        <w:rPr>
          <w:rFonts w:hint="eastAsia"/>
        </w:rPr>
        <w:t>5.1.</w:t>
      </w:r>
      <w:r>
        <w:rPr>
          <w:rFonts w:hint="eastAsia"/>
          <w:lang w:val="en-US" w:eastAsia="zh-CN"/>
        </w:rPr>
        <w:t>7</w:t>
      </w:r>
      <w:r>
        <w:rPr>
          <w:rFonts w:hint="eastAsia"/>
        </w:rPr>
        <w:t>报价函</w:t>
      </w:r>
    </w:p>
    <w:p>
      <w:pPr>
        <w:spacing w:line="48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bCs/>
        </w:rPr>
        <w:t>四川天力招标有限责任公司</w:t>
      </w:r>
      <w:r>
        <w:rPr>
          <w:rFonts w:hint="eastAsia" w:asciiTheme="minorEastAsia" w:hAnsiTheme="minorEastAsia" w:eastAsiaTheme="minorEastAsia" w:cstheme="minorEastAsia"/>
        </w:rPr>
        <w:t>：</w:t>
      </w:r>
    </w:p>
    <w:p>
      <w:pPr>
        <w:spacing w:line="48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1.我方全面研究了“ </w:t>
      </w:r>
      <w:r>
        <w:rPr>
          <w:rFonts w:hint="eastAsia" w:asciiTheme="minorEastAsia" w:hAnsiTheme="minorEastAsia" w:eastAsiaTheme="minorEastAsia" w:cstheme="minorEastAsia"/>
          <w:u w:val="single"/>
        </w:rPr>
        <w:t xml:space="preserve">           </w:t>
      </w:r>
      <w:r>
        <w:rPr>
          <w:rFonts w:hint="eastAsia"/>
          <w:b/>
          <w:bCs/>
          <w:u w:val="single"/>
        </w:rPr>
        <w:t xml:space="preserve"> </w:t>
      </w:r>
      <w:r>
        <w:rPr>
          <w:rFonts w:hint="eastAsia" w:asciiTheme="minorEastAsia" w:hAnsiTheme="minorEastAsia" w:eastAsiaTheme="minorEastAsia" w:cstheme="minorEastAsia"/>
        </w:rPr>
        <w:t>”磋商文件</w:t>
      </w:r>
      <w:r>
        <w:rPr>
          <w:rFonts w:hint="eastAsia" w:asciiTheme="minorEastAsia" w:hAnsiTheme="minorEastAsia" w:eastAsiaTheme="minorEastAsia" w:cstheme="minorEastAsia"/>
          <w:b/>
        </w:rPr>
        <w:t>（项目编号：</w:t>
      </w:r>
      <w:r>
        <w:rPr>
          <w:rFonts w:hint="eastAsia" w:asciiTheme="minorEastAsia" w:hAnsiTheme="minorEastAsia" w:eastAsiaTheme="minorEastAsia" w:cstheme="minorEastAsia"/>
          <w:b/>
          <w:u w:val="single"/>
        </w:rPr>
        <w:t xml:space="preserve">         </w:t>
      </w:r>
      <w:r>
        <w:rPr>
          <w:rFonts w:hint="eastAsia" w:asciiTheme="minorEastAsia" w:hAnsiTheme="minorEastAsia" w:eastAsiaTheme="minorEastAsia" w:cstheme="minorEastAsia"/>
        </w:rPr>
        <w:t>），决定参加贵单位组织的本项目磋商采购。</w:t>
      </w:r>
    </w:p>
    <w:p>
      <w:pPr>
        <w:spacing w:line="48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2.我方自愿按照磋商文件规定的各项要求向采购人提供所需服务，总报价为人民币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48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3.一旦我方成交，我方将严格履行采购合同规定的责任和义务。</w:t>
      </w:r>
    </w:p>
    <w:p>
      <w:pPr>
        <w:spacing w:line="48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4.我方为本项目提交的响应文件正本1份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副本2份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方案设计文本图册正本一份、副本两份，</w:t>
      </w:r>
      <w:r>
        <w:rPr>
          <w:rFonts w:hint="eastAsia" w:asciiTheme="minorEastAsia" w:hAnsiTheme="minorEastAsia" w:eastAsiaTheme="minorEastAsia" w:cstheme="minorEastAsia"/>
        </w:rPr>
        <w:t>电子文档1份，用于磋商报价。</w:t>
      </w:r>
    </w:p>
    <w:p>
      <w:pPr>
        <w:spacing w:line="48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5.我方愿意提供贵单位可能另外要求的，与磋商报价有关的文件资料，并保证我方已提供和将要提供的文件资料是真实、准确的。</w:t>
      </w:r>
    </w:p>
    <w:p>
      <w:pPr>
        <w:widowControl w:val="0"/>
        <w:adjustRightInd w:val="0"/>
        <w:snapToGrid w:val="0"/>
        <w:spacing w:line="48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6.本次磋商，我方递交的响应文件有效期为磋商文件规定起算之日起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天。</w:t>
      </w:r>
    </w:p>
    <w:p>
      <w:pPr>
        <w:pStyle w:val="20"/>
        <w:spacing w:after="0" w:line="480" w:lineRule="exact"/>
        <w:ind w:firstLine="480"/>
      </w:pPr>
    </w:p>
    <w:p>
      <w:pPr>
        <w:adjustRightInd w:val="0"/>
        <w:spacing w:line="400" w:lineRule="exact"/>
        <w:ind w:firstLine="480"/>
        <w:rPr>
          <w:rFonts w:asciiTheme="minorEastAsia" w:hAnsiTheme="minorEastAsia" w:eastAsiaTheme="minorEastAsia" w:cstheme="minorEastAsia"/>
        </w:rPr>
      </w:pPr>
    </w:p>
    <w:p>
      <w:pPr>
        <w:pStyle w:val="2"/>
        <w:rPr>
          <w:rFonts w:asciiTheme="minorEastAsia" w:hAnsiTheme="minorEastAsia" w:eastAsiaTheme="minorEastAsia" w:cstheme="minorEastAsia"/>
          <w:color w:val="auto"/>
        </w:rPr>
      </w:pPr>
    </w:p>
    <w:p>
      <w:pPr>
        <w:widowControl w:val="0"/>
        <w:adjustRightInd w:val="0"/>
        <w:snapToGrid w:val="0"/>
        <w:spacing w:line="360" w:lineRule="auto"/>
        <w:ind w:firstLine="48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供应商名称：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widowControl w:val="0"/>
        <w:adjustRightInd w:val="0"/>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法定代表人</w:t>
      </w:r>
      <w:r>
        <w:rPr>
          <w:rFonts w:hint="eastAsia"/>
        </w:rPr>
        <w:t>（单位负责人）</w:t>
      </w:r>
      <w:r>
        <w:rPr>
          <w:rFonts w:hint="eastAsia" w:asciiTheme="minorEastAsia" w:hAnsiTheme="minorEastAsia" w:eastAsiaTheme="minorEastAsia" w:cstheme="minorEastAsia"/>
        </w:rPr>
        <w:t>或授权代表（签字或盖章）：</w:t>
      </w:r>
      <w:r>
        <w:rPr>
          <w:rFonts w:hint="eastAsia" w:asciiTheme="minorEastAsia" w:hAnsiTheme="minorEastAsia" w:eastAsiaTheme="minorEastAsia" w:cstheme="minorEastAsia"/>
          <w:u w:val="single"/>
        </w:rPr>
        <w:t xml:space="preserve">          </w:t>
      </w:r>
    </w:p>
    <w:p>
      <w:pPr>
        <w:widowControl w:val="0"/>
        <w:adjustRightInd w:val="0"/>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通讯地址：</w:t>
      </w:r>
      <w:r>
        <w:rPr>
          <w:rFonts w:hint="eastAsia" w:asciiTheme="minorEastAsia" w:hAnsiTheme="minorEastAsia" w:eastAsiaTheme="minorEastAsia" w:cstheme="minorEastAsia"/>
          <w:u w:val="single"/>
        </w:rPr>
        <w:t xml:space="preserve">           </w:t>
      </w:r>
    </w:p>
    <w:p>
      <w:pPr>
        <w:widowControl w:val="0"/>
        <w:adjustRightInd w:val="0"/>
        <w:snapToGrid w:val="0"/>
        <w:spacing w:line="360" w:lineRule="auto"/>
        <w:ind w:firstLine="470" w:firstLineChars="196"/>
        <w:rPr>
          <w:rFonts w:asciiTheme="minorEastAsia" w:hAnsiTheme="minorEastAsia" w:eastAsiaTheme="minorEastAsia" w:cstheme="minorEastAsia"/>
          <w:u w:val="single"/>
        </w:rPr>
      </w:pPr>
      <w:r>
        <w:rPr>
          <w:rFonts w:hint="eastAsia" w:asciiTheme="minorEastAsia" w:hAnsiTheme="minorEastAsia" w:eastAsiaTheme="minorEastAsia" w:cstheme="minorEastAsia"/>
        </w:rPr>
        <w:t>邮政编码：</w:t>
      </w:r>
      <w:r>
        <w:rPr>
          <w:rFonts w:hint="eastAsia" w:asciiTheme="minorEastAsia" w:hAnsiTheme="minorEastAsia" w:eastAsiaTheme="minorEastAsia" w:cstheme="minorEastAsia"/>
          <w:u w:val="single"/>
        </w:rPr>
        <w:t xml:space="preserve">           </w:t>
      </w:r>
    </w:p>
    <w:p>
      <w:pPr>
        <w:widowControl w:val="0"/>
        <w:adjustRightInd w:val="0"/>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u w:val="single"/>
        </w:rPr>
        <w:t xml:space="preserve">           </w:t>
      </w:r>
    </w:p>
    <w:p>
      <w:pPr>
        <w:widowControl w:val="0"/>
        <w:adjustRightInd w:val="0"/>
        <w:snapToGrid w:val="0"/>
        <w:spacing w:line="360" w:lineRule="auto"/>
        <w:ind w:firstLine="470" w:firstLineChars="196"/>
        <w:rPr>
          <w:rFonts w:asciiTheme="minorEastAsia" w:hAnsiTheme="minorEastAsia" w:eastAsiaTheme="minorEastAsia" w:cstheme="minorEastAsia"/>
          <w:u w:val="single"/>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u w:val="single"/>
        </w:rPr>
        <w:t xml:space="preserve">           </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rPr>
        <w:br w:type="page"/>
      </w:r>
    </w:p>
    <w:p>
      <w:pPr>
        <w:widowControl w:val="0"/>
        <w:adjustRightInd w:val="0"/>
        <w:snapToGrid w:val="0"/>
        <w:spacing w:line="360" w:lineRule="auto"/>
        <w:ind w:firstLine="0" w:firstLineChars="0"/>
        <w:outlineLvl w:val="2"/>
        <w:rPr>
          <w:rFonts w:asciiTheme="minorEastAsia" w:hAnsiTheme="minorEastAsia" w:eastAsiaTheme="minorEastAsia" w:cstheme="minorEastAsia"/>
          <w:b/>
          <w:sz w:val="32"/>
          <w:szCs w:val="32"/>
        </w:rPr>
      </w:pPr>
      <w:r>
        <w:rPr>
          <w:rStyle w:val="58"/>
          <w:rFonts w:hint="eastAsia"/>
        </w:rPr>
        <w:t>5.1.</w:t>
      </w:r>
      <w:r>
        <w:rPr>
          <w:rStyle w:val="58"/>
          <w:rFonts w:hint="eastAsia"/>
          <w:lang w:val="en-US"/>
        </w:rPr>
        <w:t>8</w:t>
      </w:r>
      <w:r>
        <w:rPr>
          <w:rStyle w:val="58"/>
          <w:rFonts w:hint="eastAsia"/>
        </w:rPr>
        <w:t>报价一览表</w:t>
      </w:r>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tbl>
      <w:tblPr>
        <w:tblStyle w:val="4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138"/>
        <w:gridCol w:w="30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2"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3138"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服务内容</w:t>
            </w:r>
          </w:p>
        </w:tc>
        <w:tc>
          <w:tcPr>
            <w:tcW w:w="3000"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分项报价（单位：元）</w:t>
            </w:r>
          </w:p>
        </w:tc>
        <w:tc>
          <w:tcPr>
            <w:tcW w:w="1500"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2"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3138" w:type="dxa"/>
            <w:vAlign w:val="center"/>
          </w:tcPr>
          <w:p>
            <w:pPr>
              <w:pStyle w:val="2"/>
              <w:jc w:val="center"/>
              <w:rPr>
                <w:rFonts w:asciiTheme="minorEastAsia" w:hAnsiTheme="minorEastAsia" w:eastAsiaTheme="minorEastAsia" w:cstheme="minorEastAsia"/>
                <w:color w:val="auto"/>
              </w:rPr>
            </w:pPr>
          </w:p>
        </w:tc>
        <w:tc>
          <w:tcPr>
            <w:tcW w:w="3000" w:type="dxa"/>
            <w:vAlign w:val="center"/>
          </w:tcPr>
          <w:p>
            <w:pPr>
              <w:pStyle w:val="2"/>
              <w:jc w:val="center"/>
              <w:rPr>
                <w:rFonts w:asciiTheme="minorEastAsia" w:hAnsiTheme="minorEastAsia" w:eastAsiaTheme="minorEastAsia" w:cstheme="minorEastAsia"/>
                <w:color w:val="auto"/>
              </w:rPr>
            </w:pPr>
          </w:p>
        </w:tc>
        <w:tc>
          <w:tcPr>
            <w:tcW w:w="1500" w:type="dxa"/>
            <w:vAlign w:val="center"/>
          </w:tcPr>
          <w:p>
            <w:pPr>
              <w:pStyle w:val="2"/>
              <w:jc w:val="center"/>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2"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3138" w:type="dxa"/>
            <w:vAlign w:val="center"/>
          </w:tcPr>
          <w:p>
            <w:pPr>
              <w:pStyle w:val="2"/>
              <w:jc w:val="center"/>
              <w:rPr>
                <w:rFonts w:asciiTheme="minorEastAsia" w:hAnsiTheme="minorEastAsia" w:eastAsiaTheme="minorEastAsia" w:cstheme="minorEastAsia"/>
                <w:color w:val="auto"/>
              </w:rPr>
            </w:pPr>
          </w:p>
        </w:tc>
        <w:tc>
          <w:tcPr>
            <w:tcW w:w="3000" w:type="dxa"/>
            <w:vAlign w:val="center"/>
          </w:tcPr>
          <w:p>
            <w:pPr>
              <w:pStyle w:val="2"/>
              <w:jc w:val="center"/>
              <w:rPr>
                <w:rFonts w:asciiTheme="minorEastAsia" w:hAnsiTheme="minorEastAsia" w:eastAsiaTheme="minorEastAsia" w:cstheme="minorEastAsia"/>
                <w:color w:val="auto"/>
              </w:rPr>
            </w:pPr>
          </w:p>
        </w:tc>
        <w:tc>
          <w:tcPr>
            <w:tcW w:w="1500" w:type="dxa"/>
            <w:vAlign w:val="center"/>
          </w:tcPr>
          <w:p>
            <w:pPr>
              <w:pStyle w:val="2"/>
              <w:jc w:val="center"/>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2"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3138" w:type="dxa"/>
            <w:vAlign w:val="center"/>
          </w:tcPr>
          <w:p>
            <w:pPr>
              <w:pStyle w:val="2"/>
              <w:jc w:val="center"/>
              <w:rPr>
                <w:rFonts w:asciiTheme="minorEastAsia" w:hAnsiTheme="minorEastAsia" w:eastAsiaTheme="minorEastAsia" w:cstheme="minorEastAsia"/>
                <w:color w:val="auto"/>
              </w:rPr>
            </w:pPr>
          </w:p>
        </w:tc>
        <w:tc>
          <w:tcPr>
            <w:tcW w:w="3000" w:type="dxa"/>
            <w:vAlign w:val="center"/>
          </w:tcPr>
          <w:p>
            <w:pPr>
              <w:pStyle w:val="2"/>
              <w:jc w:val="center"/>
              <w:rPr>
                <w:rFonts w:asciiTheme="minorEastAsia" w:hAnsiTheme="minorEastAsia" w:eastAsiaTheme="minorEastAsia" w:cstheme="minorEastAsia"/>
                <w:color w:val="auto"/>
              </w:rPr>
            </w:pPr>
          </w:p>
        </w:tc>
        <w:tc>
          <w:tcPr>
            <w:tcW w:w="1500" w:type="dxa"/>
            <w:vAlign w:val="center"/>
          </w:tcPr>
          <w:p>
            <w:pPr>
              <w:pStyle w:val="2"/>
              <w:jc w:val="center"/>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2"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3138"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3000"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500" w:type="dxa"/>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3960" w:type="dxa"/>
            <w:gridSpan w:val="2"/>
            <w:vAlign w:val="center"/>
          </w:tcPr>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总报价（分项报价合计）</w:t>
            </w:r>
          </w:p>
        </w:tc>
        <w:tc>
          <w:tcPr>
            <w:tcW w:w="4500" w:type="dxa"/>
            <w:gridSpan w:val="2"/>
            <w:vAlign w:val="center"/>
          </w:tcPr>
          <w:p>
            <w:pPr>
              <w:pStyle w:val="2"/>
              <w:jc w:val="both"/>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小写：</w:t>
            </w:r>
            <w:r>
              <w:rPr>
                <w:rFonts w:hint="eastAsia" w:asciiTheme="minorEastAsia" w:hAnsiTheme="minorEastAsia" w:eastAsiaTheme="minorEastAsia" w:cstheme="minorEastAsia"/>
                <w:b/>
                <w:bCs/>
                <w:color w:val="auto"/>
                <w:u w:val="single"/>
              </w:rPr>
              <w:t xml:space="preserve">            </w:t>
            </w:r>
            <w:r>
              <w:rPr>
                <w:rFonts w:hint="eastAsia" w:asciiTheme="minorEastAsia" w:hAnsiTheme="minorEastAsia" w:eastAsiaTheme="minorEastAsia" w:cstheme="minorEastAsia"/>
                <w:b/>
                <w:bCs/>
                <w:color w:val="auto"/>
              </w:rPr>
              <w:t xml:space="preserve"> 元</w:t>
            </w:r>
          </w:p>
          <w:p>
            <w:pPr>
              <w:pStyle w:val="2"/>
              <w:jc w:val="center"/>
              <w:rPr>
                <w:rFonts w:asciiTheme="minorEastAsia" w:hAnsiTheme="minorEastAsia" w:eastAsiaTheme="minorEastAsia" w:cstheme="minorEastAsia"/>
                <w:b/>
                <w:bCs/>
                <w:color w:val="auto"/>
              </w:rPr>
            </w:pPr>
          </w:p>
          <w:p>
            <w:pPr>
              <w:pStyle w:val="2"/>
              <w:ind w:firstLine="241" w:firstLineChars="100"/>
              <w:jc w:val="both"/>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大写：</w:t>
            </w:r>
            <w:r>
              <w:rPr>
                <w:rFonts w:hint="eastAsia" w:asciiTheme="minorEastAsia" w:hAnsiTheme="minorEastAsia" w:eastAsiaTheme="minorEastAsia" w:cstheme="minorEastAsia"/>
                <w:b/>
                <w:bCs/>
                <w:color w:val="auto"/>
                <w:u w:val="single"/>
              </w:rPr>
              <w:t xml:space="preserve">            </w:t>
            </w:r>
          </w:p>
        </w:tc>
      </w:tr>
    </w:tbl>
    <w:p>
      <w:pPr>
        <w:widowControl w:val="0"/>
        <w:adjustRightInd w:val="0"/>
        <w:snapToGrid w:val="0"/>
        <w:spacing w:line="360" w:lineRule="auto"/>
        <w:ind w:firstLine="480"/>
        <w:rPr>
          <w:rFonts w:asciiTheme="minorEastAsia" w:hAnsiTheme="minorEastAsia" w:eastAsiaTheme="minorEastAsia" w:cstheme="minorEastAsia"/>
        </w:rPr>
      </w:pPr>
    </w:p>
    <w:p>
      <w:pPr>
        <w:ind w:firstLine="422"/>
        <w:rPr>
          <w:b/>
          <w:bCs/>
          <w:sz w:val="21"/>
          <w:szCs w:val="21"/>
        </w:rPr>
      </w:pPr>
      <w:r>
        <w:rPr>
          <w:rFonts w:hint="eastAsia"/>
          <w:b/>
          <w:bCs/>
          <w:sz w:val="21"/>
          <w:szCs w:val="21"/>
        </w:rPr>
        <w:t>注: 1.供应商应详细报出总报价各个组成部分的报价。</w:t>
      </w:r>
    </w:p>
    <w:p>
      <w:pPr>
        <w:ind w:firstLine="843" w:firstLineChars="400"/>
        <w:rPr>
          <w:b/>
          <w:bCs/>
          <w:sz w:val="21"/>
          <w:szCs w:val="21"/>
        </w:rPr>
      </w:pPr>
      <w:r>
        <w:rPr>
          <w:rFonts w:hint="eastAsia"/>
          <w:b/>
          <w:bCs/>
          <w:sz w:val="21"/>
          <w:szCs w:val="21"/>
        </w:rPr>
        <w:t>2.所有报价均用人民币表示，报价保留小数点后两位。</w:t>
      </w:r>
    </w:p>
    <w:p>
      <w:pPr>
        <w:ind w:firstLine="640"/>
        <w:rPr>
          <w:rFonts w:asciiTheme="minorEastAsia" w:hAnsiTheme="minorEastAsia" w:eastAsiaTheme="minorEastAsia" w:cstheme="minorEastAsia"/>
          <w:sz w:val="32"/>
        </w:rPr>
      </w:pPr>
    </w:p>
    <w:p>
      <w:pPr>
        <w:pStyle w:val="2"/>
        <w:rPr>
          <w:rFonts w:asciiTheme="minorEastAsia" w:hAnsiTheme="minorEastAsia" w:eastAsiaTheme="minorEastAsia" w:cstheme="minorEastAsia"/>
          <w:color w:val="auto"/>
        </w:rPr>
      </w:pPr>
    </w:p>
    <w:p>
      <w:pPr>
        <w:adjustRightInd w:val="0"/>
        <w:snapToGrid w:val="0"/>
        <w:spacing w:line="360" w:lineRule="auto"/>
        <w:ind w:firstLine="480"/>
        <w:rPr>
          <w:rFonts w:asciiTheme="minorEastAsia" w:hAnsiTheme="minorEastAsia" w:eastAsiaTheme="minorEastAsia" w:cstheme="minorEastAsia"/>
        </w:rPr>
      </w:pPr>
      <w:bookmarkStart w:id="141" w:name="_Toc17055"/>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法定代表人</w:t>
      </w:r>
      <w:r>
        <w:rPr>
          <w:rFonts w:hint="eastAsia"/>
        </w:rPr>
        <w:t>（单位负责人）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ind w:firstLine="480"/>
      </w:pPr>
      <w:r>
        <w:rPr>
          <w:rFonts w:hint="eastAsia"/>
        </w:rPr>
        <w:br w:type="page"/>
      </w:r>
    </w:p>
    <w:p>
      <w:pPr>
        <w:pStyle w:val="5"/>
      </w:pPr>
      <w:r>
        <w:rPr>
          <w:rFonts w:hint="eastAsia"/>
        </w:rPr>
        <w:t>5.1.</w:t>
      </w:r>
      <w:r>
        <w:rPr>
          <w:rFonts w:hint="eastAsia"/>
          <w:lang w:val="en-US" w:eastAsia="zh-CN"/>
        </w:rPr>
        <w:t>9</w:t>
      </w:r>
      <w:r>
        <w:rPr>
          <w:rFonts w:hint="eastAsia"/>
        </w:rPr>
        <w:t>供应商基本情况表</w:t>
      </w:r>
      <w:bookmarkEnd w:id="141"/>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tbl>
      <w:tblPr>
        <w:tblStyle w:val="43"/>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050"/>
        <w:gridCol w:w="1431"/>
        <w:gridCol w:w="1260"/>
        <w:gridCol w:w="420"/>
        <w:gridCol w:w="247"/>
        <w:gridCol w:w="593"/>
        <w:gridCol w:w="699"/>
        <w:gridCol w:w="141"/>
        <w:gridCol w:w="42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供应商名称</w:t>
            </w:r>
          </w:p>
        </w:tc>
        <w:tc>
          <w:tcPr>
            <w:tcW w:w="7177" w:type="dxa"/>
            <w:gridSpan w:val="10"/>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注册地址</w:t>
            </w:r>
          </w:p>
        </w:tc>
        <w:tc>
          <w:tcPr>
            <w:tcW w:w="4408" w:type="dxa"/>
            <w:gridSpan w:val="5"/>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92" w:type="dxa"/>
            <w:gridSpan w:val="2"/>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邮政编码</w:t>
            </w:r>
          </w:p>
        </w:tc>
        <w:tc>
          <w:tcPr>
            <w:tcW w:w="1477" w:type="dxa"/>
            <w:gridSpan w:val="3"/>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59" w:type="dxa"/>
            <w:vMerge w:val="restart"/>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联系方式</w:t>
            </w:r>
          </w:p>
        </w:tc>
        <w:tc>
          <w:tcPr>
            <w:tcW w:w="1050"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联系人</w:t>
            </w:r>
          </w:p>
        </w:tc>
        <w:tc>
          <w:tcPr>
            <w:tcW w:w="3358" w:type="dxa"/>
            <w:gridSpan w:val="4"/>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92" w:type="dxa"/>
            <w:gridSpan w:val="2"/>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联系电话</w:t>
            </w:r>
          </w:p>
        </w:tc>
        <w:tc>
          <w:tcPr>
            <w:tcW w:w="1477" w:type="dxa"/>
            <w:gridSpan w:val="3"/>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59" w:type="dxa"/>
            <w:vMerge w:val="continue"/>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050"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传真</w:t>
            </w:r>
          </w:p>
        </w:tc>
        <w:tc>
          <w:tcPr>
            <w:tcW w:w="3358" w:type="dxa"/>
            <w:gridSpan w:val="4"/>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92" w:type="dxa"/>
            <w:gridSpan w:val="2"/>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网址</w:t>
            </w:r>
          </w:p>
        </w:tc>
        <w:tc>
          <w:tcPr>
            <w:tcW w:w="1477" w:type="dxa"/>
            <w:gridSpan w:val="3"/>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组织结构</w:t>
            </w:r>
          </w:p>
        </w:tc>
        <w:tc>
          <w:tcPr>
            <w:tcW w:w="7177" w:type="dxa"/>
            <w:gridSpan w:val="10"/>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法定代表（单位负责人）</w:t>
            </w:r>
          </w:p>
        </w:tc>
        <w:tc>
          <w:tcPr>
            <w:tcW w:w="1050"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姓名</w:t>
            </w:r>
          </w:p>
        </w:tc>
        <w:tc>
          <w:tcPr>
            <w:tcW w:w="1431" w:type="dxa"/>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60"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技术职称</w:t>
            </w:r>
          </w:p>
        </w:tc>
        <w:tc>
          <w:tcPr>
            <w:tcW w:w="1260" w:type="dxa"/>
            <w:gridSpan w:val="3"/>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60" w:type="dxa"/>
            <w:gridSpan w:val="3"/>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联系电话</w:t>
            </w:r>
          </w:p>
        </w:tc>
        <w:tc>
          <w:tcPr>
            <w:tcW w:w="916" w:type="dxa"/>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技术负责人</w:t>
            </w:r>
          </w:p>
        </w:tc>
        <w:tc>
          <w:tcPr>
            <w:tcW w:w="1050"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姓名</w:t>
            </w:r>
          </w:p>
        </w:tc>
        <w:tc>
          <w:tcPr>
            <w:tcW w:w="1431" w:type="dxa"/>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60"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技术职称</w:t>
            </w:r>
          </w:p>
        </w:tc>
        <w:tc>
          <w:tcPr>
            <w:tcW w:w="1260" w:type="dxa"/>
            <w:gridSpan w:val="3"/>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260" w:type="dxa"/>
            <w:gridSpan w:val="3"/>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联系电话</w:t>
            </w:r>
          </w:p>
        </w:tc>
        <w:tc>
          <w:tcPr>
            <w:tcW w:w="916" w:type="dxa"/>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成立时间</w:t>
            </w:r>
          </w:p>
        </w:tc>
        <w:tc>
          <w:tcPr>
            <w:tcW w:w="2481"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4696" w:type="dxa"/>
            <w:gridSpan w:val="8"/>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企业资质等级</w:t>
            </w:r>
          </w:p>
        </w:tc>
        <w:tc>
          <w:tcPr>
            <w:tcW w:w="2481"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2"/>
            <w:vMerge w:val="restart"/>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其中</w:t>
            </w:r>
          </w:p>
        </w:tc>
        <w:tc>
          <w:tcPr>
            <w:tcW w:w="1680" w:type="dxa"/>
            <w:gridSpan w:val="4"/>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项目经理</w:t>
            </w:r>
          </w:p>
        </w:tc>
        <w:tc>
          <w:tcPr>
            <w:tcW w:w="1336"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营业执照</w:t>
            </w:r>
            <w:r>
              <w:rPr>
                <w:rFonts w:hint="eastAsia" w:asciiTheme="minorEastAsia" w:hAnsiTheme="minorEastAsia" w:eastAsiaTheme="minorEastAsia" w:cstheme="minorEastAsia"/>
              </w:rPr>
              <w:t>号</w:t>
            </w:r>
          </w:p>
        </w:tc>
        <w:tc>
          <w:tcPr>
            <w:tcW w:w="2481"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2"/>
            <w:vMerge w:val="continue"/>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4"/>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高级职称人员</w:t>
            </w:r>
          </w:p>
        </w:tc>
        <w:tc>
          <w:tcPr>
            <w:tcW w:w="1336"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注册资金</w:t>
            </w:r>
          </w:p>
        </w:tc>
        <w:tc>
          <w:tcPr>
            <w:tcW w:w="2481"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2"/>
            <w:vMerge w:val="continue"/>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4"/>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中级职称人员</w:t>
            </w:r>
          </w:p>
        </w:tc>
        <w:tc>
          <w:tcPr>
            <w:tcW w:w="1336"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开户银行</w:t>
            </w:r>
          </w:p>
        </w:tc>
        <w:tc>
          <w:tcPr>
            <w:tcW w:w="2481"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2"/>
            <w:vMerge w:val="continue"/>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4"/>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初级职称人员</w:t>
            </w:r>
          </w:p>
        </w:tc>
        <w:tc>
          <w:tcPr>
            <w:tcW w:w="1336"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账号</w:t>
            </w:r>
          </w:p>
        </w:tc>
        <w:tc>
          <w:tcPr>
            <w:tcW w:w="2481"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2"/>
            <w:vMerge w:val="continue"/>
            <w:vAlign w:val="center"/>
          </w:tcPr>
          <w:p>
            <w:pPr>
              <w:widowControl w:val="0"/>
              <w:adjustRightInd w:val="0"/>
              <w:snapToGrid w:val="0"/>
              <w:ind w:firstLine="480"/>
              <w:jc w:val="center"/>
              <w:rPr>
                <w:rFonts w:asciiTheme="minorEastAsia" w:hAnsiTheme="minorEastAsia" w:eastAsiaTheme="minorEastAsia" w:cstheme="minorEastAsia"/>
                <w:bCs/>
              </w:rPr>
            </w:pPr>
          </w:p>
        </w:tc>
        <w:tc>
          <w:tcPr>
            <w:tcW w:w="1680" w:type="dxa"/>
            <w:gridSpan w:val="4"/>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技工</w:t>
            </w:r>
          </w:p>
        </w:tc>
        <w:tc>
          <w:tcPr>
            <w:tcW w:w="1336" w:type="dxa"/>
            <w:gridSpan w:val="2"/>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经营范围</w:t>
            </w:r>
          </w:p>
        </w:tc>
        <w:tc>
          <w:tcPr>
            <w:tcW w:w="7177" w:type="dxa"/>
            <w:gridSpan w:val="10"/>
            <w:vAlign w:val="center"/>
          </w:tcPr>
          <w:p>
            <w:pPr>
              <w:widowControl w:val="0"/>
              <w:adjustRightInd w:val="0"/>
              <w:snapToGrid w:val="0"/>
              <w:ind w:firstLine="480"/>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59" w:type="dxa"/>
            <w:vAlign w:val="center"/>
          </w:tcPr>
          <w:p>
            <w:pPr>
              <w:widowControl w:val="0"/>
              <w:adjustRightInd w:val="0"/>
              <w:snapToGrid w:val="0"/>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备注</w:t>
            </w:r>
          </w:p>
        </w:tc>
        <w:tc>
          <w:tcPr>
            <w:tcW w:w="7177" w:type="dxa"/>
            <w:gridSpan w:val="10"/>
            <w:vAlign w:val="center"/>
          </w:tcPr>
          <w:p>
            <w:pPr>
              <w:widowControl w:val="0"/>
              <w:adjustRightInd w:val="0"/>
              <w:snapToGrid w:val="0"/>
              <w:ind w:firstLine="480"/>
              <w:jc w:val="center"/>
              <w:rPr>
                <w:rFonts w:asciiTheme="minorEastAsia" w:hAnsiTheme="minorEastAsia" w:eastAsiaTheme="minorEastAsia" w:cstheme="minorEastAsia"/>
                <w:bCs/>
              </w:rPr>
            </w:pPr>
          </w:p>
        </w:tc>
      </w:tr>
    </w:tbl>
    <w:p>
      <w:pPr>
        <w:widowControl w:val="0"/>
        <w:adjustRightInd w:val="0"/>
        <w:snapToGrid w:val="0"/>
        <w:spacing w:line="360" w:lineRule="auto"/>
        <w:ind w:firstLine="480"/>
        <w:rPr>
          <w:rFonts w:asciiTheme="minorEastAsia" w:hAnsiTheme="minorEastAsia" w:eastAsiaTheme="minorEastAsia" w:cstheme="minorEastAsia"/>
          <w:bCs/>
        </w:rPr>
      </w:pPr>
    </w:p>
    <w:p>
      <w:pPr>
        <w:widowControl w:val="0"/>
        <w:adjustRightInd w:val="0"/>
        <w:snapToGrid w:val="0"/>
        <w:spacing w:line="360" w:lineRule="auto"/>
        <w:ind w:firstLine="480"/>
        <w:rPr>
          <w:rFonts w:asciiTheme="minorEastAsia" w:hAnsiTheme="minorEastAsia" w:eastAsiaTheme="minorEastAsia" w:cstheme="minorEastAsia"/>
        </w:rPr>
      </w:pPr>
      <w:bookmarkStart w:id="142" w:name="_Toc5477"/>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widowControl w:val="0"/>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法定代表人</w:t>
      </w:r>
      <w:r>
        <w:rPr>
          <w:rFonts w:hint="eastAsia"/>
        </w:rPr>
        <w:t>（单位负责人）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widowControl w:val="0"/>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ind w:firstLine="482"/>
        <w:rPr>
          <w:rFonts w:asciiTheme="minorEastAsia" w:hAnsiTheme="minorEastAsia" w:eastAsiaTheme="minorEastAsia" w:cstheme="minorEastAsia"/>
          <w:b/>
          <w:bCs/>
        </w:rPr>
      </w:pPr>
    </w:p>
    <w:p>
      <w:pPr>
        <w:pStyle w:val="2"/>
        <w:sectPr>
          <w:pgSz w:w="11906" w:h="16838"/>
          <w:pgMar w:top="1020" w:right="1746" w:bottom="1020" w:left="1746" w:header="851" w:footer="992" w:gutter="0"/>
          <w:pgBorders>
            <w:top w:val="none" w:sz="0" w:space="0"/>
            <w:left w:val="none" w:sz="0" w:space="0"/>
            <w:bottom w:val="none" w:sz="0" w:space="0"/>
            <w:right w:val="none" w:sz="0" w:space="0"/>
          </w:pgBorders>
          <w:pgNumType w:fmt="decimal"/>
          <w:cols w:space="720" w:num="1"/>
          <w:docGrid w:type="lines" w:linePitch="488" w:charSpace="0"/>
        </w:sectPr>
      </w:pPr>
    </w:p>
    <w:p>
      <w:pPr>
        <w:pStyle w:val="5"/>
      </w:pPr>
      <w:r>
        <w:rPr>
          <w:rFonts w:hint="eastAsia"/>
        </w:rPr>
        <w:t>5.1.</w:t>
      </w:r>
      <w:r>
        <w:rPr>
          <w:rFonts w:hint="eastAsia"/>
          <w:lang w:val="en-US" w:eastAsia="zh-CN"/>
        </w:rPr>
        <w:t>10</w:t>
      </w:r>
      <w:r>
        <w:rPr>
          <w:rFonts w:hint="eastAsia"/>
        </w:rPr>
        <w:t>技术、服务要求应答表</w:t>
      </w:r>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tbl>
      <w:tblPr>
        <w:tblStyle w:val="43"/>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4027"/>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43" w:type="dxa"/>
            <w:vAlign w:val="center"/>
          </w:tcPr>
          <w:p>
            <w:pPr>
              <w:spacing w:line="360" w:lineRule="atLeast"/>
              <w:ind w:firstLine="0" w:firstLineChars="0"/>
              <w:jc w:val="center"/>
              <w:outlineLvl w:val="1"/>
              <w:rPr>
                <w:rFonts w:asciiTheme="minorEastAsia" w:hAnsiTheme="minorEastAsia" w:eastAsiaTheme="minorEastAsia" w:cstheme="minorEastAsia"/>
              </w:rPr>
            </w:pPr>
            <w:bookmarkStart w:id="143" w:name="_Toc31996"/>
            <w:r>
              <w:rPr>
                <w:rFonts w:hint="eastAsia" w:asciiTheme="minorEastAsia" w:hAnsiTheme="minorEastAsia" w:eastAsiaTheme="minorEastAsia" w:cstheme="minorEastAsia"/>
              </w:rPr>
              <w:t>序号</w:t>
            </w:r>
            <w:bookmarkEnd w:id="143"/>
          </w:p>
        </w:tc>
        <w:tc>
          <w:tcPr>
            <w:tcW w:w="4027" w:type="dxa"/>
            <w:vAlign w:val="center"/>
          </w:tcPr>
          <w:p>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磋商文件要求</w:t>
            </w:r>
          </w:p>
        </w:tc>
        <w:tc>
          <w:tcPr>
            <w:tcW w:w="3692" w:type="dxa"/>
            <w:vAlign w:val="center"/>
          </w:tcPr>
          <w:p>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43" w:type="dxa"/>
            <w:vAlign w:val="center"/>
          </w:tcPr>
          <w:p>
            <w:pPr>
              <w:spacing w:line="360" w:lineRule="atLeast"/>
              <w:ind w:firstLine="470" w:firstLineChars="196"/>
              <w:jc w:val="center"/>
              <w:rPr>
                <w:rFonts w:asciiTheme="minorEastAsia" w:hAnsiTheme="minorEastAsia" w:eastAsiaTheme="minorEastAsia" w:cstheme="minorEastAsia"/>
              </w:rPr>
            </w:pPr>
          </w:p>
        </w:tc>
        <w:tc>
          <w:tcPr>
            <w:tcW w:w="4027" w:type="dxa"/>
            <w:vAlign w:val="center"/>
          </w:tcPr>
          <w:p>
            <w:pPr>
              <w:spacing w:line="360" w:lineRule="atLeast"/>
              <w:ind w:firstLine="470" w:firstLineChars="196"/>
              <w:jc w:val="center"/>
              <w:rPr>
                <w:rFonts w:asciiTheme="minorEastAsia" w:hAnsiTheme="minorEastAsia" w:eastAsiaTheme="minorEastAsia" w:cstheme="minorEastAsia"/>
              </w:rPr>
            </w:pPr>
          </w:p>
        </w:tc>
        <w:tc>
          <w:tcPr>
            <w:tcW w:w="3692" w:type="dxa"/>
            <w:vAlign w:val="center"/>
          </w:tcPr>
          <w:p>
            <w:pPr>
              <w:spacing w:line="360" w:lineRule="atLeast"/>
              <w:ind w:firstLine="470" w:firstLineChars="19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43" w:type="dxa"/>
            <w:vAlign w:val="center"/>
          </w:tcPr>
          <w:p>
            <w:pPr>
              <w:spacing w:line="360" w:lineRule="atLeast"/>
              <w:ind w:firstLine="470" w:firstLineChars="196"/>
              <w:jc w:val="center"/>
              <w:rPr>
                <w:rFonts w:asciiTheme="minorEastAsia" w:hAnsiTheme="minorEastAsia" w:eastAsiaTheme="minorEastAsia" w:cstheme="minorEastAsia"/>
              </w:rPr>
            </w:pPr>
          </w:p>
        </w:tc>
        <w:tc>
          <w:tcPr>
            <w:tcW w:w="4027" w:type="dxa"/>
            <w:vAlign w:val="center"/>
          </w:tcPr>
          <w:p>
            <w:pPr>
              <w:spacing w:line="360" w:lineRule="atLeast"/>
              <w:ind w:firstLine="470" w:firstLineChars="196"/>
              <w:jc w:val="center"/>
              <w:rPr>
                <w:rFonts w:asciiTheme="minorEastAsia" w:hAnsiTheme="minorEastAsia" w:eastAsiaTheme="minorEastAsia" w:cstheme="minorEastAsia"/>
              </w:rPr>
            </w:pPr>
          </w:p>
        </w:tc>
        <w:tc>
          <w:tcPr>
            <w:tcW w:w="3692" w:type="dxa"/>
            <w:vAlign w:val="center"/>
          </w:tcPr>
          <w:p>
            <w:pPr>
              <w:spacing w:line="360" w:lineRule="atLeast"/>
              <w:ind w:firstLine="470" w:firstLineChars="19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43" w:type="dxa"/>
            <w:vAlign w:val="center"/>
          </w:tcPr>
          <w:p>
            <w:pPr>
              <w:spacing w:line="360" w:lineRule="atLeast"/>
              <w:ind w:firstLine="470" w:firstLineChars="196"/>
              <w:jc w:val="center"/>
              <w:rPr>
                <w:rFonts w:asciiTheme="minorEastAsia" w:hAnsiTheme="minorEastAsia" w:eastAsiaTheme="minorEastAsia" w:cstheme="minorEastAsia"/>
              </w:rPr>
            </w:pPr>
          </w:p>
        </w:tc>
        <w:tc>
          <w:tcPr>
            <w:tcW w:w="4027" w:type="dxa"/>
            <w:vAlign w:val="center"/>
          </w:tcPr>
          <w:p>
            <w:pPr>
              <w:spacing w:line="360" w:lineRule="atLeast"/>
              <w:ind w:firstLine="470" w:firstLineChars="196"/>
              <w:jc w:val="center"/>
              <w:rPr>
                <w:rFonts w:asciiTheme="minorEastAsia" w:hAnsiTheme="minorEastAsia" w:eastAsiaTheme="minorEastAsia" w:cstheme="minorEastAsia"/>
              </w:rPr>
            </w:pPr>
          </w:p>
        </w:tc>
        <w:tc>
          <w:tcPr>
            <w:tcW w:w="3692" w:type="dxa"/>
            <w:vAlign w:val="center"/>
          </w:tcPr>
          <w:p>
            <w:pPr>
              <w:spacing w:line="360" w:lineRule="atLeast"/>
              <w:ind w:firstLine="470" w:firstLineChars="19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43" w:type="dxa"/>
            <w:vAlign w:val="center"/>
          </w:tcPr>
          <w:p>
            <w:pPr>
              <w:spacing w:line="360" w:lineRule="atLeast"/>
              <w:ind w:firstLine="470" w:firstLineChars="196"/>
              <w:jc w:val="center"/>
              <w:rPr>
                <w:rFonts w:asciiTheme="minorEastAsia" w:hAnsiTheme="minorEastAsia" w:eastAsiaTheme="minorEastAsia" w:cstheme="minorEastAsia"/>
              </w:rPr>
            </w:pPr>
          </w:p>
        </w:tc>
        <w:tc>
          <w:tcPr>
            <w:tcW w:w="4027" w:type="dxa"/>
            <w:vAlign w:val="center"/>
          </w:tcPr>
          <w:p>
            <w:pPr>
              <w:spacing w:line="360" w:lineRule="atLeast"/>
              <w:ind w:firstLine="470" w:firstLineChars="196"/>
              <w:jc w:val="center"/>
              <w:rPr>
                <w:rFonts w:asciiTheme="minorEastAsia" w:hAnsiTheme="minorEastAsia" w:eastAsiaTheme="minorEastAsia" w:cstheme="minorEastAsia"/>
              </w:rPr>
            </w:pPr>
          </w:p>
        </w:tc>
        <w:tc>
          <w:tcPr>
            <w:tcW w:w="3692" w:type="dxa"/>
            <w:vAlign w:val="center"/>
          </w:tcPr>
          <w:p>
            <w:pPr>
              <w:spacing w:line="360" w:lineRule="atLeast"/>
              <w:ind w:firstLine="470" w:firstLineChars="196"/>
              <w:jc w:val="center"/>
              <w:rPr>
                <w:rFonts w:asciiTheme="minorEastAsia" w:hAnsiTheme="minorEastAsia" w:eastAsiaTheme="minorEastAsia" w:cstheme="minorEastAsia"/>
              </w:rPr>
            </w:pPr>
          </w:p>
        </w:tc>
      </w:tr>
    </w:tbl>
    <w:p>
      <w:pPr>
        <w:ind w:firstLine="482"/>
        <w:rPr>
          <w:rFonts w:asciiTheme="minorEastAsia" w:hAnsiTheme="minorEastAsia" w:eastAsiaTheme="minorEastAsia" w:cstheme="minorEastAsia"/>
          <w:b/>
        </w:rPr>
      </w:pP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注：1.供应商应当把磋商文件第3章的</w:t>
      </w:r>
      <w:r>
        <w:rPr>
          <w:rFonts w:hint="eastAsia" w:asciiTheme="minorEastAsia" w:hAnsiTheme="minorEastAsia" w:eastAsiaTheme="minorEastAsia" w:cstheme="minorEastAsia"/>
          <w:b/>
          <w:bCs/>
          <w:sz w:val="21"/>
          <w:szCs w:val="21"/>
        </w:rPr>
        <w:t>3.3技术、服务要求</w:t>
      </w:r>
      <w:r>
        <w:rPr>
          <w:rFonts w:hint="eastAsia" w:asciiTheme="minorEastAsia" w:hAnsiTheme="minorEastAsia" w:eastAsiaTheme="minorEastAsia" w:cstheme="minorEastAsia"/>
          <w:sz w:val="21"/>
          <w:szCs w:val="21"/>
        </w:rPr>
        <w:t>的内容全部进行响应。</w:t>
      </w:r>
    </w:p>
    <w:p>
      <w:pPr>
        <w:adjustRightInd w:val="0"/>
        <w:snapToGrid w:val="0"/>
        <w:spacing w:line="360" w:lineRule="auto"/>
        <w:ind w:firstLine="411" w:firstLineChars="19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2.供应商必须据实填写，不得虚假响应，虚假响应的，其响应文件无效并按规定追究其相关责任。</w:t>
      </w:r>
    </w:p>
    <w:p>
      <w:pPr>
        <w:widowControl w:val="0"/>
        <w:adjustRightInd w:val="0"/>
        <w:snapToGrid w:val="0"/>
        <w:spacing w:line="360" w:lineRule="auto"/>
        <w:ind w:firstLine="480"/>
        <w:rPr>
          <w:rFonts w:asciiTheme="minorEastAsia" w:hAnsiTheme="minorEastAsia" w:eastAsiaTheme="minorEastAsia" w:cstheme="minorEastAsia"/>
        </w:rPr>
      </w:pPr>
    </w:p>
    <w:p>
      <w:pPr>
        <w:widowControl w:val="0"/>
        <w:adjustRightInd w:val="0"/>
        <w:snapToGrid w:val="0"/>
        <w:spacing w:line="360" w:lineRule="auto"/>
        <w:ind w:firstLine="480"/>
        <w:rPr>
          <w:rFonts w:asciiTheme="minorEastAsia" w:hAnsiTheme="minorEastAsia" w:eastAsiaTheme="minorEastAsia" w:cstheme="minorEastAsia"/>
        </w:rPr>
      </w:pPr>
    </w:p>
    <w:p>
      <w:pPr>
        <w:widowControl w:val="0"/>
        <w:adjustRightInd w:val="0"/>
        <w:snapToGrid w:val="0"/>
        <w:spacing w:line="360" w:lineRule="auto"/>
        <w:ind w:firstLine="480"/>
        <w:rPr>
          <w:rFonts w:asciiTheme="minorEastAsia" w:hAnsiTheme="minorEastAsia" w:eastAsiaTheme="minorEastAsia" w:cstheme="minorEastAsia"/>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rPr>
        <w:t>法定代表人（单位负责人）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adjustRightInd w:val="0"/>
        <w:snapToGrid w:val="0"/>
        <w:spacing w:line="360" w:lineRule="auto"/>
        <w:ind w:firstLine="480"/>
        <w:rPr>
          <w:rFonts w:asciiTheme="minorEastAsia" w:hAnsiTheme="minorEastAsia" w:eastAsiaTheme="minorEastAsia" w:cstheme="minorEastAsia"/>
          <w:bCs/>
        </w:rPr>
      </w:pPr>
    </w:p>
    <w:p>
      <w:pPr>
        <w:pStyle w:val="28"/>
        <w:tabs>
          <w:tab w:val="left" w:pos="0"/>
        </w:tabs>
        <w:adjustRightInd w:val="0"/>
        <w:snapToGrid w:val="0"/>
        <w:spacing w:line="360" w:lineRule="auto"/>
        <w:ind w:firstLine="0" w:firstLineChars="0"/>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Style w:val="58"/>
          <w:rFonts w:hint="eastAsia"/>
        </w:rPr>
        <w:t>5.1.1</w:t>
      </w:r>
      <w:r>
        <w:rPr>
          <w:rStyle w:val="58"/>
          <w:rFonts w:hint="eastAsia"/>
          <w:lang w:val="en-US"/>
        </w:rPr>
        <w:t>1</w:t>
      </w:r>
      <w:r>
        <w:rPr>
          <w:rStyle w:val="58"/>
          <w:rFonts w:hint="eastAsia"/>
        </w:rPr>
        <w:t>商务要求应答表</w:t>
      </w:r>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tbl>
      <w:tblPr>
        <w:tblStyle w:val="43"/>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665"/>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7" w:type="dxa"/>
            <w:vAlign w:val="center"/>
          </w:tcPr>
          <w:p>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665" w:type="dxa"/>
            <w:vAlign w:val="center"/>
          </w:tcPr>
          <w:p>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磋商文件要求</w:t>
            </w:r>
          </w:p>
        </w:tc>
        <w:tc>
          <w:tcPr>
            <w:tcW w:w="4096" w:type="dxa"/>
            <w:vAlign w:val="center"/>
          </w:tcPr>
          <w:p>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67" w:type="dxa"/>
            <w:vAlign w:val="center"/>
          </w:tcPr>
          <w:p>
            <w:pPr>
              <w:ind w:firstLine="480"/>
              <w:jc w:val="center"/>
              <w:rPr>
                <w:rFonts w:asciiTheme="minorEastAsia" w:hAnsiTheme="minorEastAsia" w:eastAsiaTheme="minorEastAsia" w:cstheme="minorEastAsia"/>
              </w:rPr>
            </w:pPr>
          </w:p>
        </w:tc>
        <w:tc>
          <w:tcPr>
            <w:tcW w:w="3665" w:type="dxa"/>
            <w:vAlign w:val="center"/>
          </w:tcPr>
          <w:p>
            <w:pPr>
              <w:ind w:firstLine="480"/>
              <w:jc w:val="center"/>
              <w:rPr>
                <w:rFonts w:asciiTheme="minorEastAsia" w:hAnsiTheme="minorEastAsia" w:eastAsiaTheme="minorEastAsia" w:cstheme="minorEastAsia"/>
              </w:rPr>
            </w:pPr>
          </w:p>
        </w:tc>
        <w:tc>
          <w:tcPr>
            <w:tcW w:w="4096" w:type="dxa"/>
            <w:vAlign w:val="center"/>
          </w:tcPr>
          <w:p>
            <w:pPr>
              <w:ind w:firstLine="48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67" w:type="dxa"/>
            <w:vAlign w:val="center"/>
          </w:tcPr>
          <w:p>
            <w:pPr>
              <w:ind w:firstLine="480"/>
              <w:jc w:val="center"/>
              <w:rPr>
                <w:rFonts w:asciiTheme="minorEastAsia" w:hAnsiTheme="minorEastAsia" w:eastAsiaTheme="minorEastAsia" w:cstheme="minorEastAsia"/>
              </w:rPr>
            </w:pPr>
          </w:p>
        </w:tc>
        <w:tc>
          <w:tcPr>
            <w:tcW w:w="3665" w:type="dxa"/>
            <w:vAlign w:val="center"/>
          </w:tcPr>
          <w:p>
            <w:pPr>
              <w:ind w:firstLine="480"/>
              <w:jc w:val="center"/>
              <w:rPr>
                <w:rFonts w:asciiTheme="minorEastAsia" w:hAnsiTheme="minorEastAsia" w:eastAsiaTheme="minorEastAsia" w:cstheme="minorEastAsia"/>
              </w:rPr>
            </w:pPr>
          </w:p>
        </w:tc>
        <w:tc>
          <w:tcPr>
            <w:tcW w:w="4096" w:type="dxa"/>
            <w:vAlign w:val="center"/>
          </w:tcPr>
          <w:p>
            <w:pPr>
              <w:ind w:firstLine="48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67" w:type="dxa"/>
            <w:vAlign w:val="center"/>
          </w:tcPr>
          <w:p>
            <w:pPr>
              <w:ind w:firstLine="480"/>
              <w:jc w:val="center"/>
              <w:rPr>
                <w:rFonts w:asciiTheme="minorEastAsia" w:hAnsiTheme="minorEastAsia" w:eastAsiaTheme="minorEastAsia" w:cstheme="minorEastAsia"/>
              </w:rPr>
            </w:pPr>
          </w:p>
        </w:tc>
        <w:tc>
          <w:tcPr>
            <w:tcW w:w="3665" w:type="dxa"/>
            <w:vAlign w:val="center"/>
          </w:tcPr>
          <w:p>
            <w:pPr>
              <w:ind w:firstLine="480"/>
              <w:jc w:val="center"/>
              <w:rPr>
                <w:rFonts w:asciiTheme="minorEastAsia" w:hAnsiTheme="minorEastAsia" w:eastAsiaTheme="minorEastAsia" w:cstheme="minorEastAsia"/>
              </w:rPr>
            </w:pPr>
          </w:p>
        </w:tc>
        <w:tc>
          <w:tcPr>
            <w:tcW w:w="4096" w:type="dxa"/>
            <w:vAlign w:val="center"/>
          </w:tcPr>
          <w:p>
            <w:pPr>
              <w:ind w:firstLine="480"/>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67" w:type="dxa"/>
            <w:vAlign w:val="center"/>
          </w:tcPr>
          <w:p>
            <w:pPr>
              <w:ind w:firstLine="480"/>
              <w:jc w:val="center"/>
              <w:rPr>
                <w:rFonts w:asciiTheme="minorEastAsia" w:hAnsiTheme="minorEastAsia" w:eastAsiaTheme="minorEastAsia" w:cstheme="minorEastAsia"/>
              </w:rPr>
            </w:pPr>
          </w:p>
        </w:tc>
        <w:tc>
          <w:tcPr>
            <w:tcW w:w="3665" w:type="dxa"/>
            <w:vAlign w:val="center"/>
          </w:tcPr>
          <w:p>
            <w:pPr>
              <w:ind w:firstLine="480"/>
              <w:jc w:val="center"/>
              <w:rPr>
                <w:rFonts w:asciiTheme="minorEastAsia" w:hAnsiTheme="minorEastAsia" w:eastAsiaTheme="minorEastAsia" w:cstheme="minorEastAsia"/>
              </w:rPr>
            </w:pPr>
          </w:p>
        </w:tc>
        <w:tc>
          <w:tcPr>
            <w:tcW w:w="4096" w:type="dxa"/>
            <w:vAlign w:val="center"/>
          </w:tcPr>
          <w:p>
            <w:pPr>
              <w:ind w:firstLine="480"/>
              <w:jc w:val="center"/>
              <w:rPr>
                <w:rFonts w:asciiTheme="minorEastAsia" w:hAnsiTheme="minorEastAsia" w:eastAsiaTheme="minorEastAsia" w:cstheme="minorEastAsia"/>
              </w:rPr>
            </w:pPr>
          </w:p>
        </w:tc>
      </w:tr>
    </w:tbl>
    <w:p>
      <w:pPr>
        <w:ind w:firstLine="482"/>
        <w:rPr>
          <w:rFonts w:asciiTheme="minorEastAsia" w:hAnsiTheme="minorEastAsia" w:eastAsiaTheme="minorEastAsia" w:cstheme="minorEastAsia"/>
          <w:b/>
        </w:rPr>
      </w:pP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注：1.供应商必须把磋商文件第3章的</w:t>
      </w:r>
      <w:r>
        <w:rPr>
          <w:rFonts w:hint="eastAsia" w:asciiTheme="minorEastAsia" w:hAnsiTheme="minorEastAsia" w:eastAsiaTheme="minorEastAsia" w:cstheme="minorEastAsia"/>
          <w:b/>
          <w:bCs/>
          <w:sz w:val="21"/>
          <w:szCs w:val="21"/>
        </w:rPr>
        <w:t>3.4商务要求</w:t>
      </w:r>
      <w:r>
        <w:rPr>
          <w:rFonts w:hint="eastAsia" w:asciiTheme="minorEastAsia" w:hAnsiTheme="minorEastAsia" w:eastAsiaTheme="minorEastAsia" w:cstheme="minorEastAsia"/>
          <w:sz w:val="21"/>
          <w:szCs w:val="21"/>
        </w:rPr>
        <w:t>的内容全部进行响应。</w:t>
      </w:r>
    </w:p>
    <w:p>
      <w:pPr>
        <w:adjustRightInd w:val="0"/>
        <w:snapToGrid w:val="0"/>
        <w:spacing w:line="360" w:lineRule="auto"/>
        <w:ind w:firstLine="411" w:firstLineChars="196"/>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2.供应商必须据实填写，不得虚假响应，虚假响应的，其响应文件无效并按规定追究其相关责任。</w:t>
      </w:r>
    </w:p>
    <w:p>
      <w:pPr>
        <w:pStyle w:val="2"/>
        <w:rPr>
          <w:color w:val="auto"/>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rPr>
        <w:t>法定代表人（单位负责人）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adjustRightInd w:val="0"/>
        <w:snapToGrid w:val="0"/>
        <w:spacing w:line="360" w:lineRule="auto"/>
        <w:ind w:firstLine="480"/>
        <w:rPr>
          <w:rFonts w:asciiTheme="minorEastAsia" w:hAnsiTheme="minorEastAsia" w:eastAsiaTheme="minorEastAsia" w:cstheme="minorEastAsia"/>
          <w:bCs/>
        </w:rPr>
      </w:pPr>
    </w:p>
    <w:bookmarkEnd w:id="142"/>
    <w:p>
      <w:pPr>
        <w:ind w:firstLine="482"/>
        <w:rPr>
          <w:rFonts w:asciiTheme="minorEastAsia" w:hAnsiTheme="minorEastAsia" w:eastAsiaTheme="minorEastAsia" w:cstheme="minorEastAsia"/>
          <w:b/>
          <w:kern w:val="2"/>
        </w:rPr>
      </w:pPr>
      <w:bookmarkStart w:id="144" w:name="_Toc31246"/>
      <w:bookmarkStart w:id="145" w:name="_Toc8691"/>
      <w:bookmarkStart w:id="146" w:name="_Toc27483"/>
      <w:r>
        <w:rPr>
          <w:rFonts w:hint="eastAsia" w:asciiTheme="minorEastAsia" w:hAnsiTheme="minorEastAsia" w:eastAsiaTheme="minorEastAsia" w:cstheme="minorEastAsia"/>
          <w:b/>
          <w:kern w:val="2"/>
        </w:rPr>
        <w:br w:type="page"/>
      </w:r>
    </w:p>
    <w:p>
      <w:pPr>
        <w:pStyle w:val="5"/>
      </w:pPr>
      <w:r>
        <w:rPr>
          <w:rFonts w:hint="eastAsia"/>
        </w:rPr>
        <w:t>5.1.1</w:t>
      </w:r>
      <w:r>
        <w:rPr>
          <w:rFonts w:hint="eastAsia"/>
          <w:lang w:val="en-US" w:eastAsia="zh-CN"/>
        </w:rPr>
        <w:t>2</w:t>
      </w:r>
      <w:r>
        <w:rPr>
          <w:rFonts w:hint="eastAsia"/>
        </w:rPr>
        <w:t>供应商类似项目业绩一览表</w:t>
      </w:r>
      <w:bookmarkEnd w:id="144"/>
      <w:bookmarkEnd w:id="145"/>
      <w:bookmarkEnd w:id="146"/>
    </w:p>
    <w:tbl>
      <w:tblPr>
        <w:tblStyle w:val="43"/>
        <w:tblW w:w="8722" w:type="dxa"/>
        <w:jc w:val="center"/>
        <w:tblLayout w:type="fixed"/>
        <w:tblCellMar>
          <w:top w:w="0" w:type="dxa"/>
          <w:left w:w="0" w:type="dxa"/>
          <w:bottom w:w="0" w:type="dxa"/>
          <w:right w:w="0" w:type="dxa"/>
        </w:tblCellMar>
      </w:tblPr>
      <w:tblGrid>
        <w:gridCol w:w="862"/>
        <w:gridCol w:w="1544"/>
        <w:gridCol w:w="1701"/>
        <w:gridCol w:w="1559"/>
        <w:gridCol w:w="1748"/>
        <w:gridCol w:w="1308"/>
      </w:tblGrid>
      <w:tr>
        <w:tblPrEx>
          <w:tblCellMar>
            <w:top w:w="0" w:type="dxa"/>
            <w:left w:w="0" w:type="dxa"/>
            <w:bottom w:w="0" w:type="dxa"/>
            <w:right w:w="0" w:type="dxa"/>
          </w:tblCellMar>
        </w:tblPrEx>
        <w:trPr>
          <w:cantSplit/>
          <w:trHeight w:val="600"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年份</w:t>
            </w: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用户名称</w:t>
            </w: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项目名称</w:t>
            </w: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合同签订时间</w:t>
            </w: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合同金额（元）</w:t>
            </w: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备注</w:t>
            </w: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nil"/>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widowControl w:val="0"/>
              <w:adjustRightInd w:val="0"/>
              <w:snapToGrid w:val="0"/>
              <w:spacing w:line="360" w:lineRule="auto"/>
              <w:ind w:firstLine="480"/>
              <w:jc w:val="center"/>
              <w:rPr>
                <w:rFonts w:asciiTheme="minorEastAsia" w:hAnsiTheme="minorEastAsia" w:eastAsiaTheme="minorEastAsia" w:cstheme="minorEastAsia"/>
              </w:rPr>
            </w:pPr>
          </w:p>
        </w:tc>
      </w:tr>
    </w:tbl>
    <w:p>
      <w:pPr>
        <w:widowControl w:val="0"/>
        <w:adjustRightInd w:val="0"/>
        <w:snapToGrid w:val="0"/>
        <w:spacing w:line="360" w:lineRule="auto"/>
        <w:ind w:firstLine="482"/>
        <w:rPr>
          <w:rFonts w:asciiTheme="minorEastAsia" w:hAnsiTheme="minorEastAsia" w:eastAsiaTheme="minorEastAsia" w:cstheme="minorEastAsia"/>
          <w:b/>
          <w:bCs/>
        </w:rPr>
      </w:pPr>
    </w:p>
    <w:p>
      <w:pPr>
        <w:widowControl w:val="0"/>
        <w:adjustRightInd w:val="0"/>
        <w:snapToGrid w:val="0"/>
        <w:spacing w:line="360" w:lineRule="auto"/>
        <w:ind w:firstLine="422"/>
        <w:rPr>
          <w:rFonts w:asciiTheme="minorEastAsia" w:hAnsiTheme="minorEastAsia" w:eastAsiaTheme="minorEastAsia" w:cstheme="minorEastAsia"/>
          <w:b/>
          <w:bCs/>
          <w:sz w:val="21"/>
          <w:szCs w:val="21"/>
        </w:rPr>
      </w:pPr>
    </w:p>
    <w:p>
      <w:pPr>
        <w:widowControl w:val="0"/>
        <w:adjustRightInd w:val="0"/>
        <w:snapToGrid w:val="0"/>
        <w:spacing w:line="360" w:lineRule="auto"/>
        <w:ind w:firstLine="42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注：1、以上业绩（仅限于供应商自己实施的）需提供相关证明材料，需加盖鲜章。</w:t>
      </w:r>
    </w:p>
    <w:p>
      <w:pPr>
        <w:widowControl w:val="0"/>
        <w:adjustRightInd w:val="0"/>
        <w:snapToGrid w:val="0"/>
        <w:spacing w:line="360" w:lineRule="auto"/>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sz w:val="21"/>
          <w:szCs w:val="21"/>
        </w:rPr>
        <w:t xml:space="preserve">    2、表格不够供应商可自行增加。</w:t>
      </w:r>
    </w:p>
    <w:p>
      <w:pPr>
        <w:widowControl w:val="0"/>
        <w:adjustRightInd w:val="0"/>
        <w:snapToGrid w:val="0"/>
        <w:spacing w:line="360" w:lineRule="auto"/>
        <w:ind w:firstLine="480"/>
        <w:rPr>
          <w:rFonts w:asciiTheme="minorEastAsia" w:hAnsiTheme="minorEastAsia" w:eastAsiaTheme="minorEastAsia" w:cstheme="minorEastAsia"/>
        </w:rPr>
      </w:pPr>
    </w:p>
    <w:p>
      <w:pPr>
        <w:pStyle w:val="2"/>
        <w:rPr>
          <w:rFonts w:asciiTheme="minorEastAsia" w:hAnsiTheme="minorEastAsia" w:eastAsiaTheme="minorEastAsia" w:cstheme="minorEastAsia"/>
          <w:color w:val="auto"/>
          <w:szCs w:val="24"/>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rPr>
        <w:t>法定代表人（单位负责人）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adjustRightInd w:val="0"/>
        <w:snapToGrid w:val="0"/>
        <w:spacing w:line="360" w:lineRule="auto"/>
        <w:ind w:firstLine="480"/>
        <w:rPr>
          <w:rFonts w:asciiTheme="minorEastAsia" w:hAnsiTheme="minorEastAsia" w:eastAsiaTheme="minorEastAsia" w:cstheme="minorEastAsia"/>
          <w:bCs/>
        </w:rPr>
      </w:pPr>
    </w:p>
    <w:p>
      <w:pPr>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p>
    <w:p>
      <w:pPr>
        <w:pStyle w:val="5"/>
      </w:pPr>
      <w:r>
        <w:rPr>
          <w:rFonts w:hint="eastAsia"/>
        </w:rPr>
        <w:t>5.1.1</w:t>
      </w:r>
      <w:r>
        <w:rPr>
          <w:rFonts w:hint="eastAsia"/>
          <w:lang w:val="en-US" w:eastAsia="zh-CN"/>
        </w:rPr>
        <w:t>3</w:t>
      </w:r>
      <w:r>
        <w:rPr>
          <w:rFonts w:hint="eastAsia"/>
        </w:rPr>
        <w:t>拟派本项目团队人员配置表</w:t>
      </w:r>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tbl>
      <w:tblPr>
        <w:tblStyle w:val="4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
        <w:gridCol w:w="924"/>
        <w:gridCol w:w="931"/>
        <w:gridCol w:w="1151"/>
        <w:gridCol w:w="1287"/>
        <w:gridCol w:w="865"/>
        <w:gridCol w:w="91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ind w:firstLine="0" w:firstLineChars="0"/>
              <w:jc w:val="center"/>
            </w:pPr>
            <w:r>
              <w:rPr>
                <w:rFonts w:hint="eastAsia"/>
              </w:rPr>
              <w:t>类别</w:t>
            </w:r>
          </w:p>
        </w:tc>
        <w:tc>
          <w:tcPr>
            <w:tcW w:w="975" w:type="dxa"/>
            <w:vMerge w:val="restart"/>
            <w:vAlign w:val="center"/>
          </w:tcPr>
          <w:p>
            <w:pPr>
              <w:adjustRightInd w:val="0"/>
              <w:snapToGrid w:val="0"/>
              <w:spacing w:line="360" w:lineRule="auto"/>
              <w:ind w:firstLine="0" w:firstLineChars="0"/>
              <w:jc w:val="center"/>
            </w:pPr>
            <w:r>
              <w:rPr>
                <w:rFonts w:hint="eastAsia"/>
              </w:rPr>
              <w:t>职务</w:t>
            </w:r>
          </w:p>
        </w:tc>
        <w:tc>
          <w:tcPr>
            <w:tcW w:w="924" w:type="dxa"/>
            <w:vMerge w:val="restart"/>
            <w:vAlign w:val="center"/>
          </w:tcPr>
          <w:p>
            <w:pPr>
              <w:adjustRightInd w:val="0"/>
              <w:snapToGrid w:val="0"/>
              <w:spacing w:line="360" w:lineRule="auto"/>
              <w:ind w:firstLine="0" w:firstLineChars="0"/>
              <w:jc w:val="center"/>
            </w:pPr>
            <w:r>
              <w:rPr>
                <w:rFonts w:hint="eastAsia"/>
              </w:rPr>
              <w:t>姓名</w:t>
            </w:r>
          </w:p>
        </w:tc>
        <w:tc>
          <w:tcPr>
            <w:tcW w:w="931" w:type="dxa"/>
            <w:vMerge w:val="restart"/>
            <w:vAlign w:val="center"/>
          </w:tcPr>
          <w:p>
            <w:pPr>
              <w:adjustRightInd w:val="0"/>
              <w:snapToGrid w:val="0"/>
              <w:spacing w:line="360" w:lineRule="auto"/>
              <w:ind w:firstLine="0" w:firstLineChars="0"/>
              <w:jc w:val="center"/>
            </w:pPr>
            <w:r>
              <w:rPr>
                <w:rFonts w:hint="eastAsia"/>
              </w:rPr>
              <w:t>职称</w:t>
            </w:r>
          </w:p>
        </w:tc>
        <w:tc>
          <w:tcPr>
            <w:tcW w:w="1151" w:type="dxa"/>
            <w:vMerge w:val="restart"/>
            <w:vAlign w:val="center"/>
          </w:tcPr>
          <w:p>
            <w:pPr>
              <w:adjustRightInd w:val="0"/>
              <w:snapToGrid w:val="0"/>
              <w:spacing w:line="360" w:lineRule="auto"/>
              <w:ind w:firstLine="0" w:firstLineChars="0"/>
              <w:jc w:val="center"/>
            </w:pPr>
            <w:r>
              <w:rPr>
                <w:rFonts w:hint="eastAsia"/>
              </w:rPr>
              <w:t>常住地</w:t>
            </w:r>
          </w:p>
        </w:tc>
        <w:tc>
          <w:tcPr>
            <w:tcW w:w="3999" w:type="dxa"/>
            <w:gridSpan w:val="4"/>
            <w:vAlign w:val="center"/>
          </w:tcPr>
          <w:p>
            <w:pPr>
              <w:adjustRightInd w:val="0"/>
              <w:snapToGrid w:val="0"/>
              <w:spacing w:line="360" w:lineRule="auto"/>
              <w:ind w:firstLine="0" w:firstLineChars="0"/>
              <w:jc w:val="center"/>
            </w:pPr>
            <w:r>
              <w:rPr>
                <w:rFonts w:hint="eastAsia"/>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855" w:type="dxa"/>
            <w:vMerge w:val="continue"/>
            <w:vAlign w:val="center"/>
          </w:tcPr>
          <w:p>
            <w:pPr>
              <w:adjustRightInd w:val="0"/>
              <w:snapToGrid w:val="0"/>
              <w:spacing w:line="360" w:lineRule="auto"/>
              <w:ind w:firstLine="480"/>
              <w:jc w:val="center"/>
            </w:pPr>
          </w:p>
        </w:tc>
        <w:tc>
          <w:tcPr>
            <w:tcW w:w="975" w:type="dxa"/>
            <w:vMerge w:val="continue"/>
            <w:vAlign w:val="center"/>
          </w:tcPr>
          <w:p>
            <w:pPr>
              <w:adjustRightInd w:val="0"/>
              <w:snapToGrid w:val="0"/>
              <w:spacing w:line="360" w:lineRule="auto"/>
              <w:ind w:firstLine="480"/>
              <w:jc w:val="center"/>
            </w:pPr>
          </w:p>
        </w:tc>
        <w:tc>
          <w:tcPr>
            <w:tcW w:w="924" w:type="dxa"/>
            <w:vMerge w:val="continue"/>
            <w:vAlign w:val="center"/>
          </w:tcPr>
          <w:p>
            <w:pPr>
              <w:adjustRightInd w:val="0"/>
              <w:snapToGrid w:val="0"/>
              <w:spacing w:line="360" w:lineRule="auto"/>
              <w:ind w:firstLine="480"/>
              <w:jc w:val="center"/>
            </w:pPr>
          </w:p>
        </w:tc>
        <w:tc>
          <w:tcPr>
            <w:tcW w:w="931" w:type="dxa"/>
            <w:vMerge w:val="continue"/>
            <w:vAlign w:val="center"/>
          </w:tcPr>
          <w:p>
            <w:pPr>
              <w:adjustRightInd w:val="0"/>
              <w:snapToGrid w:val="0"/>
              <w:spacing w:line="360" w:lineRule="auto"/>
              <w:ind w:firstLine="480"/>
              <w:jc w:val="center"/>
            </w:pPr>
          </w:p>
        </w:tc>
        <w:tc>
          <w:tcPr>
            <w:tcW w:w="1151" w:type="dxa"/>
            <w:vMerge w:val="continue"/>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0" w:firstLineChars="0"/>
              <w:jc w:val="center"/>
            </w:pPr>
            <w:r>
              <w:rPr>
                <w:rFonts w:hint="eastAsia"/>
              </w:rPr>
              <w:t>证书名称</w:t>
            </w:r>
          </w:p>
        </w:tc>
        <w:tc>
          <w:tcPr>
            <w:tcW w:w="865" w:type="dxa"/>
            <w:vAlign w:val="center"/>
          </w:tcPr>
          <w:p>
            <w:pPr>
              <w:adjustRightInd w:val="0"/>
              <w:snapToGrid w:val="0"/>
              <w:spacing w:line="360" w:lineRule="auto"/>
              <w:ind w:firstLine="0" w:firstLineChars="0"/>
              <w:jc w:val="center"/>
            </w:pPr>
            <w:r>
              <w:rPr>
                <w:rFonts w:hint="eastAsia"/>
              </w:rPr>
              <w:t>级别</w:t>
            </w:r>
          </w:p>
        </w:tc>
        <w:tc>
          <w:tcPr>
            <w:tcW w:w="912" w:type="dxa"/>
            <w:vAlign w:val="center"/>
          </w:tcPr>
          <w:p>
            <w:pPr>
              <w:adjustRightInd w:val="0"/>
              <w:snapToGrid w:val="0"/>
              <w:spacing w:line="360" w:lineRule="auto"/>
              <w:ind w:firstLine="0" w:firstLineChars="0"/>
              <w:jc w:val="center"/>
            </w:pPr>
            <w:r>
              <w:rPr>
                <w:rFonts w:hint="eastAsia"/>
              </w:rPr>
              <w:t>证号</w:t>
            </w:r>
          </w:p>
        </w:tc>
        <w:tc>
          <w:tcPr>
            <w:tcW w:w="935" w:type="dxa"/>
            <w:vAlign w:val="center"/>
          </w:tcPr>
          <w:p>
            <w:pPr>
              <w:adjustRightInd w:val="0"/>
              <w:snapToGrid w:val="0"/>
              <w:spacing w:line="360" w:lineRule="auto"/>
              <w:ind w:firstLine="0" w:firstLineChars="0"/>
              <w:jc w:val="center"/>
            </w:pP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restart"/>
            <w:vAlign w:val="center"/>
          </w:tcPr>
          <w:p>
            <w:pPr>
              <w:adjustRightInd w:val="0"/>
              <w:snapToGrid w:val="0"/>
              <w:spacing w:line="360" w:lineRule="auto"/>
              <w:ind w:firstLine="0" w:firstLineChars="0"/>
              <w:jc w:val="center"/>
            </w:pPr>
            <w:r>
              <w:rPr>
                <w:rFonts w:hint="eastAsia"/>
              </w:rPr>
              <w:t>管理人员</w:t>
            </w: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ind w:firstLine="480"/>
              <w:jc w:val="center"/>
            </w:pP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ind w:firstLine="480"/>
              <w:jc w:val="center"/>
            </w:pP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ind w:firstLine="0" w:firstLineChars="0"/>
              <w:jc w:val="center"/>
            </w:pPr>
            <w:r>
              <w:rPr>
                <w:rFonts w:hint="eastAsia"/>
              </w:rPr>
              <w:t>技术</w:t>
            </w:r>
          </w:p>
          <w:p>
            <w:pPr>
              <w:adjustRightInd w:val="0"/>
              <w:snapToGrid w:val="0"/>
              <w:spacing w:line="360" w:lineRule="auto"/>
              <w:ind w:firstLine="0" w:firstLineChars="0"/>
              <w:jc w:val="center"/>
            </w:pPr>
            <w:r>
              <w:rPr>
                <w:rFonts w:hint="eastAsia"/>
              </w:rPr>
              <w:t>人员</w:t>
            </w: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ind w:firstLine="480"/>
              <w:jc w:val="center"/>
            </w:pP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vAlign w:val="center"/>
          </w:tcPr>
          <w:p>
            <w:pPr>
              <w:adjustRightInd w:val="0"/>
              <w:snapToGrid w:val="0"/>
              <w:spacing w:line="360" w:lineRule="auto"/>
              <w:ind w:firstLine="480"/>
              <w:jc w:val="center"/>
            </w:pP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restart"/>
            <w:vAlign w:val="center"/>
          </w:tcPr>
          <w:p>
            <w:pPr>
              <w:adjustRightInd w:val="0"/>
              <w:snapToGrid w:val="0"/>
              <w:spacing w:line="360" w:lineRule="auto"/>
              <w:ind w:firstLine="0" w:firstLineChars="0"/>
              <w:jc w:val="center"/>
            </w:pPr>
            <w:r>
              <w:rPr>
                <w:rFonts w:hint="eastAsia"/>
              </w:rPr>
              <w:t>其他人员</w:t>
            </w: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vAlign w:val="center"/>
          </w:tcPr>
          <w:p>
            <w:pPr>
              <w:adjustRightInd w:val="0"/>
              <w:snapToGrid w:val="0"/>
              <w:spacing w:line="360" w:lineRule="auto"/>
              <w:ind w:firstLine="480"/>
              <w:jc w:val="center"/>
            </w:pPr>
          </w:p>
        </w:tc>
        <w:tc>
          <w:tcPr>
            <w:tcW w:w="975" w:type="dxa"/>
            <w:vAlign w:val="center"/>
          </w:tcPr>
          <w:p>
            <w:pPr>
              <w:adjustRightInd w:val="0"/>
              <w:snapToGrid w:val="0"/>
              <w:spacing w:line="360" w:lineRule="auto"/>
              <w:ind w:firstLine="480"/>
              <w:jc w:val="center"/>
            </w:pPr>
          </w:p>
        </w:tc>
        <w:tc>
          <w:tcPr>
            <w:tcW w:w="924" w:type="dxa"/>
            <w:vAlign w:val="center"/>
          </w:tcPr>
          <w:p>
            <w:pPr>
              <w:adjustRightInd w:val="0"/>
              <w:snapToGrid w:val="0"/>
              <w:spacing w:line="360" w:lineRule="auto"/>
              <w:ind w:firstLine="480"/>
              <w:jc w:val="center"/>
            </w:pPr>
          </w:p>
        </w:tc>
        <w:tc>
          <w:tcPr>
            <w:tcW w:w="931" w:type="dxa"/>
            <w:vAlign w:val="center"/>
          </w:tcPr>
          <w:p>
            <w:pPr>
              <w:adjustRightInd w:val="0"/>
              <w:snapToGrid w:val="0"/>
              <w:spacing w:line="360" w:lineRule="auto"/>
              <w:ind w:firstLine="480"/>
              <w:jc w:val="center"/>
            </w:pPr>
          </w:p>
        </w:tc>
        <w:tc>
          <w:tcPr>
            <w:tcW w:w="1151" w:type="dxa"/>
            <w:vAlign w:val="center"/>
          </w:tcPr>
          <w:p>
            <w:pPr>
              <w:adjustRightInd w:val="0"/>
              <w:snapToGrid w:val="0"/>
              <w:spacing w:line="360" w:lineRule="auto"/>
              <w:ind w:firstLine="480"/>
              <w:jc w:val="center"/>
            </w:pPr>
          </w:p>
        </w:tc>
        <w:tc>
          <w:tcPr>
            <w:tcW w:w="1287" w:type="dxa"/>
            <w:vAlign w:val="center"/>
          </w:tcPr>
          <w:p>
            <w:pPr>
              <w:adjustRightInd w:val="0"/>
              <w:snapToGrid w:val="0"/>
              <w:spacing w:line="360" w:lineRule="auto"/>
              <w:ind w:firstLine="480"/>
              <w:jc w:val="center"/>
            </w:pPr>
          </w:p>
        </w:tc>
        <w:tc>
          <w:tcPr>
            <w:tcW w:w="865" w:type="dxa"/>
            <w:vAlign w:val="center"/>
          </w:tcPr>
          <w:p>
            <w:pPr>
              <w:adjustRightInd w:val="0"/>
              <w:snapToGrid w:val="0"/>
              <w:spacing w:line="360" w:lineRule="auto"/>
              <w:ind w:firstLine="480"/>
              <w:jc w:val="center"/>
            </w:pPr>
          </w:p>
        </w:tc>
        <w:tc>
          <w:tcPr>
            <w:tcW w:w="912" w:type="dxa"/>
            <w:vAlign w:val="center"/>
          </w:tcPr>
          <w:p>
            <w:pPr>
              <w:adjustRightInd w:val="0"/>
              <w:snapToGrid w:val="0"/>
              <w:spacing w:line="360" w:lineRule="auto"/>
              <w:ind w:firstLine="480"/>
              <w:jc w:val="center"/>
            </w:pPr>
          </w:p>
        </w:tc>
        <w:tc>
          <w:tcPr>
            <w:tcW w:w="935" w:type="dxa"/>
            <w:vAlign w:val="center"/>
          </w:tcPr>
          <w:p>
            <w:pPr>
              <w:adjustRightInd w:val="0"/>
              <w:snapToGrid w:val="0"/>
              <w:spacing w:line="360" w:lineRule="auto"/>
              <w:ind w:firstLine="480"/>
              <w:jc w:val="center"/>
            </w:pPr>
          </w:p>
        </w:tc>
      </w:tr>
    </w:tbl>
    <w:p>
      <w:pPr>
        <w:pStyle w:val="2"/>
        <w:autoSpaceDE/>
        <w:autoSpaceDN/>
        <w:snapToGrid w:val="0"/>
        <w:spacing w:line="360" w:lineRule="auto"/>
        <w:rPr>
          <w:rFonts w:asciiTheme="minorEastAsia" w:hAnsiTheme="minorEastAsia" w:eastAsiaTheme="minorEastAsia" w:cstheme="minorEastAsia"/>
          <w:color w:val="auto"/>
        </w:rPr>
      </w:pPr>
    </w:p>
    <w:p>
      <w:pPr>
        <w:widowControl w:val="0"/>
        <w:adjustRightInd w:val="0"/>
        <w:snapToGrid w:val="0"/>
        <w:spacing w:line="360" w:lineRule="auto"/>
        <w:ind w:firstLine="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注：表格不够供应商可自行增加。</w:t>
      </w:r>
    </w:p>
    <w:p>
      <w:pPr>
        <w:pStyle w:val="2"/>
        <w:autoSpaceDE/>
        <w:autoSpaceDN/>
        <w:snapToGrid w:val="0"/>
        <w:spacing w:line="360" w:lineRule="auto"/>
        <w:rPr>
          <w:rFonts w:asciiTheme="minorEastAsia" w:hAnsiTheme="minorEastAsia" w:eastAsiaTheme="minorEastAsia" w:cstheme="minorEastAsia"/>
          <w:color w:val="auto"/>
        </w:rPr>
      </w:pPr>
    </w:p>
    <w:p>
      <w:pPr>
        <w:pStyle w:val="2"/>
        <w:autoSpaceDE/>
        <w:autoSpaceDN/>
        <w:snapToGrid w:val="0"/>
        <w:spacing w:line="360" w:lineRule="auto"/>
        <w:rPr>
          <w:rFonts w:asciiTheme="minorEastAsia" w:hAnsiTheme="minorEastAsia" w:eastAsiaTheme="minorEastAsia" w:cstheme="minorEastAsia"/>
          <w:color w:val="auto"/>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rPr>
        <w:t>法定代表人（单位负责人）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p>
    <w:p>
      <w:pPr>
        <w:pStyle w:val="5"/>
      </w:pPr>
      <w:r>
        <w:rPr>
          <w:rFonts w:hint="eastAsia"/>
        </w:rPr>
        <w:t>5.1.1</w:t>
      </w:r>
      <w:r>
        <w:rPr>
          <w:rFonts w:hint="eastAsia"/>
          <w:lang w:val="en-US" w:eastAsia="zh-CN"/>
        </w:rPr>
        <w:t>4</w:t>
      </w:r>
      <w:r>
        <w:rPr>
          <w:rFonts w:hint="eastAsia"/>
        </w:rPr>
        <w:t>服务方案</w:t>
      </w:r>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p>
      <w:pPr>
        <w:pStyle w:val="31"/>
        <w:pBdr>
          <w:bottom w:val="none" w:color="auto" w:sz="0" w:space="0"/>
        </w:pBdr>
        <w:tabs>
          <w:tab w:val="clear" w:pos="4153"/>
          <w:tab w:val="clear" w:pos="8306"/>
        </w:tabs>
        <w:adjustRightInd w:val="0"/>
        <w:spacing w:line="360" w:lineRule="auto"/>
        <w:ind w:firstLine="480"/>
        <w:jc w:val="both"/>
        <w:rPr>
          <w:rFonts w:cstheme="minorEastAsia"/>
          <w:bCs/>
          <w:sz w:val="24"/>
          <w:szCs w:val="24"/>
          <w:u w:val="single"/>
        </w:rPr>
      </w:pPr>
    </w:p>
    <w:p>
      <w:pPr>
        <w:pStyle w:val="31"/>
        <w:pBdr>
          <w:bottom w:val="none" w:color="auto" w:sz="0" w:space="0"/>
        </w:pBdr>
        <w:tabs>
          <w:tab w:val="clear" w:pos="4153"/>
          <w:tab w:val="clear" w:pos="8306"/>
        </w:tabs>
        <w:adjustRightInd w:val="0"/>
        <w:spacing w:line="360" w:lineRule="auto"/>
        <w:ind w:firstLine="480"/>
        <w:jc w:val="both"/>
        <w:rPr>
          <w:rFonts w:cstheme="minorEastAsia"/>
          <w:bCs/>
          <w:sz w:val="24"/>
          <w:szCs w:val="24"/>
          <w:u w:val="single"/>
        </w:rPr>
      </w:pPr>
    </w:p>
    <w:p>
      <w:pPr>
        <w:pStyle w:val="2"/>
        <w:snapToGrid w:val="0"/>
        <w:spacing w:line="360" w:lineRule="auto"/>
        <w:rPr>
          <w:color w:val="auto"/>
        </w:rPr>
      </w:pPr>
    </w:p>
    <w:p>
      <w:pPr>
        <w:pStyle w:val="2"/>
        <w:snapToGrid w:val="0"/>
        <w:spacing w:line="360" w:lineRule="auto"/>
        <w:rPr>
          <w:color w:val="auto"/>
        </w:rPr>
      </w:pPr>
    </w:p>
    <w:p>
      <w:pPr>
        <w:pStyle w:val="2"/>
        <w:snapToGrid w:val="0"/>
        <w:spacing w:line="360" w:lineRule="auto"/>
        <w:rPr>
          <w:rFonts w:ascii="宋体" w:hAnsi="宋体" w:eastAsia="宋体" w:cs="宋体"/>
          <w:bCs/>
          <w:color w:val="auto"/>
          <w:szCs w:val="24"/>
        </w:rPr>
      </w:pPr>
    </w:p>
    <w:p>
      <w:pPr>
        <w:adjustRightInd w:val="0"/>
        <w:snapToGrid w:val="0"/>
        <w:spacing w:line="360" w:lineRule="auto"/>
        <w:ind w:firstLine="0" w:firstLineChars="0"/>
        <w:rPr>
          <w:b/>
          <w:bCs/>
        </w:rPr>
      </w:pPr>
      <w:r>
        <w:rPr>
          <w:rFonts w:hint="eastAsia"/>
          <w:b/>
          <w:bCs/>
        </w:rPr>
        <w:t>注：此部分格式自拟。</w:t>
      </w:r>
    </w:p>
    <w:p>
      <w:pPr>
        <w:widowControl w:val="0"/>
        <w:adjustRightInd w:val="0"/>
        <w:snapToGrid w:val="0"/>
        <w:spacing w:line="360" w:lineRule="auto"/>
        <w:ind w:firstLine="480"/>
        <w:jc w:val="both"/>
        <w:rPr>
          <w:bCs/>
        </w:rPr>
      </w:pPr>
    </w:p>
    <w:p>
      <w:pPr>
        <w:widowControl w:val="0"/>
        <w:adjustRightInd w:val="0"/>
        <w:snapToGrid w:val="0"/>
        <w:spacing w:line="360" w:lineRule="auto"/>
        <w:ind w:firstLine="562"/>
        <w:jc w:val="both"/>
        <w:rPr>
          <w:b/>
          <w:sz w:val="28"/>
          <w:szCs w:val="28"/>
        </w:rPr>
      </w:pPr>
    </w:p>
    <w:p>
      <w:pPr>
        <w:pStyle w:val="2"/>
        <w:rPr>
          <w:color w:val="auto"/>
        </w:rPr>
      </w:pPr>
    </w:p>
    <w:p>
      <w:pPr>
        <w:pStyle w:val="2"/>
        <w:snapToGrid w:val="0"/>
        <w:spacing w:line="360" w:lineRule="auto"/>
        <w:rPr>
          <w:rFonts w:hAnsi="宋体" w:cs="宋体"/>
          <w:b/>
          <w:color w:val="auto"/>
          <w:sz w:val="28"/>
          <w:szCs w:val="28"/>
        </w:rPr>
      </w:pPr>
    </w:p>
    <w:p>
      <w:pPr>
        <w:pStyle w:val="2"/>
        <w:snapToGrid w:val="0"/>
        <w:spacing w:line="360" w:lineRule="auto"/>
        <w:rPr>
          <w:rFonts w:hAnsi="宋体" w:cs="宋体"/>
          <w:b/>
          <w:color w:val="auto"/>
          <w:sz w:val="28"/>
          <w:szCs w:val="28"/>
        </w:rPr>
      </w:pPr>
    </w:p>
    <w:p>
      <w:pPr>
        <w:pStyle w:val="2"/>
        <w:snapToGrid w:val="0"/>
        <w:spacing w:line="360" w:lineRule="auto"/>
        <w:rPr>
          <w:rFonts w:hAnsi="宋体" w:cs="宋体"/>
          <w:b/>
          <w:color w:val="auto"/>
          <w:sz w:val="28"/>
          <w:szCs w:val="28"/>
        </w:rPr>
      </w:pPr>
    </w:p>
    <w:p>
      <w:pPr>
        <w:pStyle w:val="2"/>
        <w:snapToGrid w:val="0"/>
        <w:spacing w:line="360" w:lineRule="auto"/>
        <w:rPr>
          <w:color w:val="auto"/>
        </w:rPr>
      </w:pPr>
    </w:p>
    <w:p>
      <w:pPr>
        <w:adjustRightInd w:val="0"/>
        <w:snapToGrid w:val="0"/>
        <w:spacing w:line="360" w:lineRule="auto"/>
        <w:ind w:firstLine="480"/>
        <w:rPr>
          <w:rFonts w:asciiTheme="minorEastAsia" w:hAnsiTheme="minorEastAsia" w:eastAsiaTheme="minorEastAsia" w:cstheme="minorEastAsia"/>
        </w:rPr>
      </w:pPr>
      <w:bookmarkStart w:id="147" w:name="_Toc3446"/>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rPr>
        <w:t>法定代表人（单位负责人）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ind w:firstLine="240" w:firstLineChars="100"/>
      </w:pPr>
      <w:r>
        <w:rPr>
          <w:rFonts w:hint="eastAsia"/>
        </w:rPr>
        <w:br w:type="page"/>
      </w:r>
    </w:p>
    <w:p>
      <w:pPr>
        <w:pStyle w:val="5"/>
      </w:pPr>
      <w:r>
        <w:rPr>
          <w:rFonts w:hint="eastAsia"/>
        </w:rPr>
        <w:t>5.1.1</w:t>
      </w:r>
      <w:r>
        <w:rPr>
          <w:rFonts w:hint="eastAsia"/>
          <w:lang w:val="en-US" w:eastAsia="zh-CN"/>
        </w:rPr>
        <w:t>5</w:t>
      </w:r>
      <w:r>
        <w:rPr>
          <w:rFonts w:hint="eastAsia"/>
        </w:rPr>
        <w:t>其他资料</w:t>
      </w:r>
      <w:bookmarkEnd w:id="147"/>
    </w:p>
    <w:p>
      <w:pPr>
        <w:widowControl w:val="0"/>
        <w:adjustRightInd w:val="0"/>
        <w:snapToGrid w:val="0"/>
        <w:spacing w:line="360" w:lineRule="auto"/>
        <w:ind w:firstLine="562"/>
        <w:rPr>
          <w:rFonts w:asciiTheme="minorEastAsia" w:hAnsiTheme="minorEastAsia" w:eastAsiaTheme="minorEastAsia" w:cstheme="minorEastAsia"/>
          <w:b/>
          <w:bCs/>
          <w:sz w:val="28"/>
          <w:szCs w:val="28"/>
        </w:rPr>
      </w:pPr>
    </w:p>
    <w:p>
      <w:pPr>
        <w:widowControl w:val="0"/>
        <w:adjustRightInd w:val="0"/>
        <w:snapToGrid w:val="0"/>
        <w:spacing w:line="360" w:lineRule="auto"/>
        <w:ind w:firstLine="482"/>
        <w:rPr>
          <w:rFonts w:asciiTheme="minorEastAsia" w:hAnsiTheme="minorEastAsia" w:eastAsiaTheme="minorEastAsia" w:cstheme="minorEastAsia"/>
          <w:b/>
        </w:rPr>
      </w:pPr>
    </w:p>
    <w:p>
      <w:pPr>
        <w:pStyle w:val="2"/>
        <w:autoSpaceDE/>
        <w:autoSpaceDN/>
        <w:snapToGrid w:val="0"/>
        <w:spacing w:line="360" w:lineRule="auto"/>
        <w:rPr>
          <w:rFonts w:asciiTheme="minorEastAsia" w:hAnsiTheme="minorEastAsia" w:eastAsiaTheme="minorEastAsia" w:cstheme="minorEastAsia"/>
          <w:color w:val="auto"/>
        </w:rPr>
      </w:pPr>
    </w:p>
    <w:p>
      <w:pPr>
        <w:widowControl w:val="0"/>
        <w:adjustRightInd w:val="0"/>
        <w:snapToGrid w:val="0"/>
        <w:spacing w:line="360" w:lineRule="auto"/>
        <w:ind w:firstLine="480"/>
        <w:rPr>
          <w:rFonts w:asciiTheme="minorEastAsia" w:hAnsiTheme="minorEastAsia" w:eastAsiaTheme="minorEastAsia" w:cstheme="minorEastAsia"/>
        </w:rPr>
      </w:pPr>
    </w:p>
    <w:p>
      <w:pPr>
        <w:widowControl w:val="0"/>
        <w:adjustRightInd w:val="0"/>
        <w:snapToGrid w:val="0"/>
        <w:spacing w:line="360" w:lineRule="auto"/>
        <w:ind w:firstLine="480"/>
        <w:rPr>
          <w:rFonts w:asciiTheme="minorEastAsia" w:hAnsiTheme="minorEastAsia" w:eastAsiaTheme="minorEastAsia" w:cstheme="minorEastAsia"/>
        </w:rPr>
      </w:pPr>
    </w:p>
    <w:p>
      <w:pPr>
        <w:pStyle w:val="2"/>
        <w:autoSpaceDE/>
        <w:autoSpaceDN/>
        <w:snapToGrid w:val="0"/>
        <w:spacing w:line="360" w:lineRule="auto"/>
        <w:rPr>
          <w:rFonts w:asciiTheme="minorEastAsia" w:hAnsiTheme="minorEastAsia" w:eastAsiaTheme="minorEastAsia" w:cstheme="minorEastAsia"/>
          <w:color w:val="auto"/>
          <w:szCs w:val="24"/>
        </w:rPr>
      </w:pPr>
    </w:p>
    <w:p>
      <w:pPr>
        <w:widowControl w:val="0"/>
        <w:adjustRightInd w:val="0"/>
        <w:snapToGrid w:val="0"/>
        <w:spacing w:line="360" w:lineRule="auto"/>
        <w:ind w:firstLine="482"/>
        <w:rPr>
          <w:rFonts w:asciiTheme="minorEastAsia" w:hAnsiTheme="minorEastAsia" w:eastAsiaTheme="minorEastAsia" w:cstheme="minorEastAsia"/>
          <w:b/>
          <w:bCs/>
        </w:rPr>
      </w:pPr>
    </w:p>
    <w:p>
      <w:pPr>
        <w:widowControl w:val="0"/>
        <w:adjustRightInd w:val="0"/>
        <w:snapToGrid w:val="0"/>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注：复印件加盖公章。</w:t>
      </w:r>
    </w:p>
    <w:bookmarkEnd w:id="133"/>
    <w:bookmarkEnd w:id="134"/>
    <w:bookmarkEnd w:id="135"/>
    <w:bookmarkEnd w:id="136"/>
    <w:bookmarkEnd w:id="137"/>
    <w:p>
      <w:pPr>
        <w:ind w:firstLine="482"/>
        <w:rPr>
          <w:rFonts w:asciiTheme="minorEastAsia" w:hAnsiTheme="minorEastAsia" w:eastAsiaTheme="minorEastAsia" w:cstheme="minorEastAsia"/>
          <w:b/>
        </w:rPr>
      </w:pPr>
      <w:bookmarkStart w:id="148" w:name="_Toc21994"/>
      <w:bookmarkStart w:id="149" w:name="_Toc20946"/>
      <w:bookmarkStart w:id="150" w:name="_Toc2513"/>
      <w:bookmarkStart w:id="151" w:name="_Toc19124"/>
      <w:r>
        <w:rPr>
          <w:rFonts w:hint="eastAsia" w:asciiTheme="minorEastAsia" w:hAnsiTheme="minorEastAsia" w:eastAsiaTheme="minorEastAsia" w:cstheme="minorEastAsia"/>
          <w:b/>
        </w:rPr>
        <w:br w:type="page"/>
      </w:r>
    </w:p>
    <w:p>
      <w:pPr>
        <w:pStyle w:val="4"/>
      </w:pPr>
      <w:r>
        <w:rPr>
          <w:rFonts w:hint="eastAsia"/>
          <w:lang w:eastAsia="zh-CN"/>
        </w:rPr>
        <w:t>附件：</w:t>
      </w:r>
      <w:r>
        <w:rPr>
          <w:rFonts w:hint="eastAsia"/>
        </w:rPr>
        <w:t>磋商报价表格式</w:t>
      </w:r>
      <w:bookmarkEnd w:id="148"/>
    </w:p>
    <w:p>
      <w:pPr>
        <w:ind w:firstLine="562"/>
        <w:jc w:val="center"/>
        <w:rPr>
          <w:b/>
          <w:bCs/>
          <w:sz w:val="28"/>
          <w:szCs w:val="28"/>
        </w:rPr>
      </w:pPr>
      <w:r>
        <w:rPr>
          <w:rFonts w:hint="eastAsia"/>
          <w:b/>
          <w:bCs/>
          <w:sz w:val="28"/>
          <w:szCs w:val="28"/>
        </w:rPr>
        <w:t>磋商报价表（第</w:t>
      </w:r>
      <w:r>
        <w:rPr>
          <w:rFonts w:hint="eastAsia"/>
          <w:b/>
          <w:bCs/>
          <w:sz w:val="28"/>
          <w:szCs w:val="28"/>
          <w:u w:val="single"/>
        </w:rPr>
        <w:t xml:space="preserve">   </w:t>
      </w:r>
      <w:r>
        <w:rPr>
          <w:rFonts w:hint="eastAsia"/>
          <w:b/>
          <w:bCs/>
          <w:sz w:val="28"/>
          <w:szCs w:val="28"/>
        </w:rPr>
        <w:t>次)</w:t>
      </w:r>
    </w:p>
    <w:p>
      <w:pPr>
        <w:pStyle w:val="113"/>
        <w:adjustRightInd w:val="0"/>
        <w:snapToGrid w:val="0"/>
        <w:ind w:firstLine="0" w:firstLineChars="0"/>
        <w:rPr>
          <w:rFonts w:asciiTheme="minorEastAsia" w:hAnsiTheme="minorEastAsia" w:eastAsiaTheme="minorEastAsia" w:cstheme="minorEastAsia"/>
          <w:b/>
          <w:sz w:val="24"/>
          <w:szCs w:val="24"/>
        </w:rPr>
      </w:pPr>
    </w:p>
    <w:p>
      <w:pPr>
        <w:widowControl w:val="0"/>
        <w:adjustRightInd w:val="0"/>
        <w:snapToGrid w:val="0"/>
        <w:spacing w:line="360" w:lineRule="auto"/>
        <w:ind w:firstLine="0" w:firstLineChars="0"/>
        <w:jc w:val="both"/>
        <w:rPr>
          <w:b/>
          <w:bCs/>
          <w:u w:val="single"/>
        </w:rPr>
      </w:pPr>
      <w:r>
        <w:rPr>
          <w:rFonts w:hint="eastAsia"/>
          <w:b/>
          <w:bCs/>
        </w:rPr>
        <w:t>项目名称：</w:t>
      </w:r>
      <w:r>
        <w:rPr>
          <w:rFonts w:hint="eastAsia"/>
          <w:b/>
          <w:bCs/>
          <w:u w:val="single"/>
        </w:rPr>
        <w:t xml:space="preserve">                </w:t>
      </w:r>
    </w:p>
    <w:p>
      <w:pPr>
        <w:widowControl w:val="0"/>
        <w:adjustRightInd w:val="0"/>
        <w:snapToGrid w:val="0"/>
        <w:spacing w:line="360" w:lineRule="auto"/>
        <w:ind w:firstLine="0" w:firstLineChars="0"/>
        <w:jc w:val="both"/>
        <w:rPr>
          <w:b/>
          <w:bCs/>
          <w:u w:val="single"/>
        </w:rPr>
      </w:pPr>
      <w:r>
        <w:rPr>
          <w:rFonts w:hint="eastAsia"/>
          <w:b/>
          <w:bCs/>
        </w:rPr>
        <w:t>项目编号：</w:t>
      </w:r>
      <w:r>
        <w:rPr>
          <w:rFonts w:hint="eastAsia"/>
          <w:b/>
          <w:bCs/>
          <w:u w:val="single"/>
        </w:rPr>
        <w:t xml:space="preserve">                </w:t>
      </w:r>
    </w:p>
    <w:tbl>
      <w:tblPr>
        <w:tblStyle w:val="43"/>
        <w:tblW w:w="902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665" w:type="dxa"/>
            <w:vAlign w:val="center"/>
          </w:tcPr>
          <w:p>
            <w:pPr>
              <w:adjustRightInd w:val="0"/>
              <w:snapToGrid w:val="0"/>
              <w:spacing w:line="360" w:lineRule="auto"/>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（第</w:t>
            </w:r>
            <w:r>
              <w:rPr>
                <w:rFonts w:hint="eastAsia" w:asciiTheme="minorEastAsia" w:hAnsiTheme="minorEastAsia" w:eastAsiaTheme="minorEastAsia" w:cstheme="minorEastAsia"/>
                <w:b/>
                <w:u w:val="single"/>
              </w:rPr>
              <w:t xml:space="preserve">   </w:t>
            </w:r>
            <w:r>
              <w:rPr>
                <w:rFonts w:hint="eastAsia" w:asciiTheme="minorEastAsia" w:hAnsiTheme="minorEastAsia" w:eastAsiaTheme="minorEastAsia" w:cstheme="minorEastAsia"/>
                <w:b/>
              </w:rPr>
              <w:t>次）</w:t>
            </w:r>
          </w:p>
          <w:p>
            <w:pPr>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磋商报价</w:t>
            </w:r>
          </w:p>
        </w:tc>
        <w:tc>
          <w:tcPr>
            <w:tcW w:w="7363" w:type="dxa"/>
            <w:vAlign w:val="center"/>
          </w:tcPr>
          <w:p>
            <w:pPr>
              <w:adjustRightInd w:val="0"/>
              <w:snapToGrid w:val="0"/>
              <w:spacing w:line="360" w:lineRule="auto"/>
              <w:ind w:firstLine="480"/>
              <w:rPr>
                <w:rFonts w:asciiTheme="minorEastAsia" w:hAnsiTheme="minorEastAsia" w:eastAsiaTheme="minorEastAsia" w:cstheme="minorEastAsia"/>
                <w:u w:val="single"/>
              </w:rPr>
            </w:pPr>
            <w:r>
              <w:rPr>
                <w:rFonts w:hint="eastAsia" w:asciiTheme="minorEastAsia" w:hAnsiTheme="minorEastAsia" w:eastAsiaTheme="minorEastAsia" w:cstheme="minorEastAsia"/>
              </w:rPr>
              <w:t>人民币小写：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adjustRightInd w:val="0"/>
              <w:snapToGrid w:val="0"/>
              <w:spacing w:line="360" w:lineRule="auto"/>
              <w:ind w:firstLine="480"/>
              <w:rPr>
                <w:rFonts w:asciiTheme="minorEastAsia" w:hAnsiTheme="minorEastAsia" w:eastAsiaTheme="minorEastAsia" w:cstheme="minorEastAsia"/>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人民币大写：</w:t>
            </w:r>
            <w:r>
              <w:rPr>
                <w:rFonts w:hint="eastAsia" w:asciiTheme="minorEastAsia" w:hAnsiTheme="minorEastAsia" w:eastAsiaTheme="minorEastAsia" w:cs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665" w:type="dxa"/>
            <w:vAlign w:val="center"/>
          </w:tcPr>
          <w:p>
            <w:pPr>
              <w:adjustRightInd w:val="0"/>
              <w:snapToGrid w:val="0"/>
              <w:spacing w:line="360" w:lineRule="auto"/>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最   后</w:t>
            </w:r>
          </w:p>
          <w:p>
            <w:pPr>
              <w:adjustRightInd w:val="0"/>
              <w:snapToGrid w:val="0"/>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rPr>
              <w:t>磋商报价</w:t>
            </w:r>
          </w:p>
        </w:tc>
        <w:tc>
          <w:tcPr>
            <w:tcW w:w="7363" w:type="dxa"/>
            <w:vAlign w:val="center"/>
          </w:tcPr>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人民币小写：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adjustRightInd w:val="0"/>
              <w:snapToGrid w:val="0"/>
              <w:spacing w:line="360" w:lineRule="auto"/>
              <w:ind w:firstLine="480"/>
              <w:rPr>
                <w:rFonts w:asciiTheme="minorEastAsia" w:hAnsiTheme="minorEastAsia" w:eastAsiaTheme="minorEastAsia" w:cstheme="minorEastAsia"/>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人民币大写：</w:t>
            </w:r>
            <w:r>
              <w:rPr>
                <w:rFonts w:hint="eastAsia" w:asciiTheme="minorEastAsia" w:hAnsiTheme="minorEastAsia" w:eastAsiaTheme="minorEastAsia" w:cs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665" w:type="dxa"/>
            <w:vAlign w:val="center"/>
          </w:tcPr>
          <w:p>
            <w:pPr>
              <w:adjustRightInd w:val="0"/>
              <w:snapToGrid w:val="0"/>
              <w:spacing w:line="360" w:lineRule="auto"/>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备   注</w:t>
            </w:r>
          </w:p>
        </w:tc>
        <w:tc>
          <w:tcPr>
            <w:tcW w:w="7363" w:type="dxa"/>
            <w:vAlign w:val="center"/>
          </w:tcPr>
          <w:p>
            <w:pPr>
              <w:adjustRightInd w:val="0"/>
              <w:snapToGrid w:val="0"/>
              <w:spacing w:line="360" w:lineRule="auto"/>
              <w:ind w:firstLine="480"/>
              <w:rPr>
                <w:rFonts w:asciiTheme="minorEastAsia" w:hAnsiTheme="minorEastAsia" w:eastAsiaTheme="minorEastAsia" w:cstheme="minorEastAsia"/>
              </w:rPr>
            </w:pPr>
          </w:p>
        </w:tc>
      </w:tr>
    </w:tbl>
    <w:p>
      <w:pPr>
        <w:pStyle w:val="2"/>
        <w:autoSpaceDE/>
        <w:autoSpaceDN/>
        <w:snapToGrid w:val="0"/>
        <w:spacing w:line="360" w:lineRule="auto"/>
        <w:jc w:val="both"/>
        <w:rPr>
          <w:rFonts w:asciiTheme="minorEastAsia" w:hAnsiTheme="minorEastAsia" w:eastAsiaTheme="minorEastAsia" w:cstheme="minorEastAsia"/>
          <w:color w:val="auto"/>
          <w:szCs w:val="24"/>
        </w:rPr>
      </w:pPr>
    </w:p>
    <w:p>
      <w:pPr>
        <w:pStyle w:val="2"/>
        <w:autoSpaceDE/>
        <w:autoSpaceDN/>
        <w:snapToGrid w:val="0"/>
        <w:spacing w:line="360" w:lineRule="auto"/>
        <w:jc w:val="both"/>
        <w:rPr>
          <w:rFonts w:asciiTheme="minorEastAsia" w:hAnsiTheme="minorEastAsia" w:eastAsiaTheme="minorEastAsia" w:cstheme="minorEastAsia"/>
          <w:color w:val="auto"/>
          <w:szCs w:val="24"/>
        </w:rPr>
      </w:pP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p>
    <w:p>
      <w:pPr>
        <w:adjustRightInd w:val="0"/>
        <w:snapToGrid w:val="0"/>
        <w:spacing w:line="360" w:lineRule="auto"/>
        <w:ind w:firstLine="480"/>
        <w:rPr>
          <w:rFonts w:asciiTheme="minorEastAsia" w:hAnsiTheme="minorEastAsia" w:eastAsiaTheme="minorEastAsia" w:cstheme="minorEastAsia"/>
          <w:bCs/>
          <w:u w:val="single"/>
        </w:rPr>
      </w:pPr>
      <w:r>
        <w:rPr>
          <w:rFonts w:hint="eastAsia"/>
        </w:rPr>
        <w:t>法定代表人（单位负责人）</w:t>
      </w:r>
      <w:r>
        <w:rPr>
          <w:rFonts w:hint="eastAsia" w:asciiTheme="minorEastAsia" w:hAnsiTheme="minorEastAsia" w:eastAsiaTheme="minorEastAsia" w:cstheme="minorEastAsia"/>
          <w:bCs/>
        </w:rPr>
        <w:t>或授权代表（签字或盖章）：</w:t>
      </w:r>
      <w:r>
        <w:rPr>
          <w:rFonts w:hint="eastAsia" w:asciiTheme="minorEastAsia" w:hAnsiTheme="minorEastAsia" w:eastAsiaTheme="minorEastAsia" w:cstheme="minorEastAsia"/>
          <w:bCs/>
          <w:u w:val="single"/>
        </w:rPr>
        <w:t xml:space="preserve">            </w:t>
      </w:r>
    </w:p>
    <w:p>
      <w:pPr>
        <w:adjustRightInd w:val="0"/>
        <w:snapToGrid w:val="0"/>
        <w:spacing w:line="360" w:lineRule="auto"/>
        <w:ind w:firstLine="480"/>
        <w:rPr>
          <w:rFonts w:asciiTheme="minorEastAsia" w:hAnsiTheme="minorEastAsia" w:eastAsiaTheme="minorEastAsia" w:cstheme="minorEastAsia"/>
          <w:bCs/>
        </w:rPr>
      </w:pPr>
      <w:r>
        <w:rPr>
          <w:rFonts w:hint="eastAsia" w:asciiTheme="minorEastAsia" w:hAnsiTheme="minorEastAsia" w:eastAsiaTheme="minorEastAsia" w:cstheme="minorEastAsia"/>
          <w:bCs/>
        </w:rPr>
        <w:t>日  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日</w:t>
      </w:r>
    </w:p>
    <w:p>
      <w:pPr>
        <w:adjustRightInd w:val="0"/>
        <w:snapToGrid w:val="0"/>
        <w:spacing w:line="360" w:lineRule="auto"/>
        <w:ind w:firstLine="480"/>
        <w:rPr>
          <w:rFonts w:asciiTheme="minorEastAsia" w:hAnsiTheme="minorEastAsia" w:eastAsiaTheme="minorEastAsia" w:cstheme="minorEastAsia"/>
          <w:bCs/>
        </w:rPr>
      </w:pPr>
    </w:p>
    <w:p>
      <w:pPr>
        <w:pStyle w:val="2"/>
        <w:autoSpaceDE/>
        <w:autoSpaceDN/>
        <w:snapToGrid w:val="0"/>
        <w:spacing w:line="360" w:lineRule="auto"/>
        <w:ind w:firstLine="480" w:firstLineChars="200"/>
        <w:jc w:val="both"/>
        <w:rPr>
          <w:rFonts w:asciiTheme="minorEastAsia" w:hAnsiTheme="minorEastAsia" w:eastAsiaTheme="minorEastAsia" w:cstheme="minorEastAsia"/>
          <w:bCs/>
          <w:color w:val="auto"/>
        </w:rPr>
      </w:pPr>
    </w:p>
    <w:p>
      <w:pPr>
        <w:pStyle w:val="113"/>
        <w:adjustRightInd w:val="0"/>
        <w:snapToGrid w:val="0"/>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说明：1.</w:t>
      </w:r>
      <w:r>
        <w:rPr>
          <w:rFonts w:hint="eastAsia" w:asciiTheme="minorEastAsia" w:hAnsiTheme="minorEastAsia" w:eastAsiaTheme="minorEastAsia" w:cstheme="minorEastAsia"/>
          <w:b/>
          <w:color w:val="000000" w:themeColor="text1"/>
          <w:sz w:val="21"/>
          <w:szCs w:val="21"/>
          <w14:textFill>
            <w14:solidFill>
              <w14:schemeClr w14:val="tx1"/>
            </w14:solidFill>
          </w14:textFill>
        </w:rPr>
        <w:t>供应商在响应文件中可不填写此报价表。此表为磋商后填写的报价，经供应商法定代表人（单位负责人）或授权代表签字或盖章后密封递交给采购代理机构工作人员，由其收集齐后集中递交磋商小组。</w:t>
      </w:r>
    </w:p>
    <w:p>
      <w:pPr>
        <w:pStyle w:val="113"/>
        <w:adjustRightInd w:val="0"/>
        <w:snapToGrid w:val="0"/>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2.所有报价均用人民币表示，供应商报价应包含完成本项目所需的一切费用。</w:t>
      </w:r>
    </w:p>
    <w:p>
      <w:pPr>
        <w:pStyle w:val="113"/>
        <w:adjustRightInd w:val="0"/>
        <w:snapToGrid w:val="0"/>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3.报价保留小数点后两位。</w:t>
      </w:r>
    </w:p>
    <w:p>
      <w:pPr>
        <w:pStyle w:val="2"/>
        <w:autoSpaceDE/>
        <w:autoSpaceDN/>
        <w:snapToGrid w:val="0"/>
        <w:spacing w:line="360" w:lineRule="auto"/>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4.为方便报价，供应商应携带多份签字确认或加盖鲜章的报价表现场填写。</w:t>
      </w:r>
    </w:p>
    <w:p>
      <w:pPr>
        <w:ind w:firstLine="480"/>
        <w:rPr>
          <w:rFonts w:asciiTheme="minorEastAsia" w:hAnsiTheme="minorEastAsia" w:eastAsiaTheme="minorEastAsia" w:cstheme="minorEastAsia"/>
        </w:rPr>
      </w:pPr>
      <w:bookmarkStart w:id="152" w:name="_Toc21900"/>
      <w:r>
        <w:rPr>
          <w:rFonts w:hint="eastAsia" w:asciiTheme="minorEastAsia" w:hAnsiTheme="minorEastAsia" w:eastAsiaTheme="minorEastAsia" w:cstheme="minorEastAsia"/>
        </w:rPr>
        <w:br w:type="page"/>
      </w:r>
    </w:p>
    <w:p>
      <w:pPr>
        <w:pStyle w:val="3"/>
        <w:keepNext w:val="0"/>
        <w:keepLines w:val="0"/>
        <w:widowControl w:val="0"/>
        <w:numPr>
          <w:ilvl w:val="0"/>
          <w:numId w:val="0"/>
        </w:numPr>
        <w:adjustRightInd w:val="0"/>
        <w:snapToGrid w:val="0"/>
        <w:spacing w:line="360" w:lineRule="auto"/>
        <w:rPr>
          <w:rFonts w:asciiTheme="minorEastAsia" w:hAnsiTheme="minorEastAsia" w:eastAsiaTheme="minorEastAsia" w:cstheme="minorEastAsia"/>
          <w:color w:val="auto"/>
        </w:rPr>
      </w:pPr>
      <w:bookmarkStart w:id="153" w:name="_Toc28391"/>
      <w:r>
        <w:rPr>
          <w:rFonts w:hint="eastAsia" w:asciiTheme="minorEastAsia" w:hAnsiTheme="minorEastAsia" w:eastAsiaTheme="minorEastAsia" w:cstheme="minorEastAsia"/>
          <w:bCs w:val="0"/>
          <w:color w:val="auto"/>
          <w:kern w:val="0"/>
        </w:rPr>
        <w:t>第6章 评审方法</w:t>
      </w:r>
      <w:bookmarkEnd w:id="149"/>
      <w:bookmarkEnd w:id="150"/>
      <w:bookmarkEnd w:id="151"/>
      <w:bookmarkEnd w:id="152"/>
      <w:bookmarkEnd w:id="153"/>
    </w:p>
    <w:p>
      <w:pPr>
        <w:pStyle w:val="4"/>
        <w:keepNext w:val="0"/>
        <w:keepLines w:val="0"/>
        <w:adjustRightInd w:val="0"/>
        <w:snapToGrid w:val="0"/>
        <w:spacing w:line="360" w:lineRule="auto"/>
      </w:pPr>
      <w:bookmarkStart w:id="154" w:name="_Toc26037"/>
      <w:bookmarkStart w:id="155" w:name="_Toc9746"/>
      <w:bookmarkStart w:id="156" w:name="_Toc20459"/>
      <w:r>
        <w:rPr>
          <w:rFonts w:hint="eastAsia"/>
        </w:rPr>
        <w:t>6.1.总则</w:t>
      </w:r>
      <w:bookmarkEnd w:id="154"/>
      <w:bookmarkEnd w:id="155"/>
      <w:bookmarkEnd w:id="156"/>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6.1.1 参照《中华人民共和国政府采购法》、《中华人民共和国政府采购法实施条例》、</w:t>
      </w:r>
      <w:r>
        <w:rPr>
          <w:rFonts w:hint="eastAsia"/>
          <w:bCs/>
        </w:rPr>
        <w:t>《政府采购非招标采购方式管理办法》</w:t>
      </w:r>
      <w:r>
        <w:rPr>
          <w:rFonts w:hint="eastAsia" w:asciiTheme="minorEastAsia" w:hAnsiTheme="minorEastAsia" w:eastAsiaTheme="minorEastAsia" w:cstheme="minorEastAsia"/>
        </w:rPr>
        <w:t>等法律制度，结合本采购项目特点制定本磋商方法。</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6.1.2 磋商工作由代理机构负责组织，具体磋商由代理机构依法组建的磋商小组负责。</w:t>
      </w:r>
      <w:r>
        <w:rPr>
          <w:rFonts w:hint="eastAsia"/>
          <w:bCs/>
        </w:rPr>
        <w:t>磋商小组由采购人代表和有关技术、经济方面的专家组成。</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6.1.3 磋商工作应遵循公平、公正、科学及择优的原则，并以相同的磋商程序和标准对待所有的供应商。</w:t>
      </w:r>
    </w:p>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6.1.4 磋商小组按照磋商文件规定的磋商程序、评分方法和标准进行评审，并独立履行下列职责：</w:t>
      </w:r>
    </w:p>
    <w:p>
      <w:pPr>
        <w:widowControl w:val="0"/>
        <w:adjustRightInd w:val="0"/>
        <w:snapToGrid w:val="0"/>
        <w:spacing w:line="360" w:lineRule="auto"/>
        <w:ind w:firstLine="480"/>
      </w:pPr>
      <w:r>
        <w:rPr>
          <w:rFonts w:hint="eastAsia"/>
        </w:rPr>
        <w:t>（一）熟悉和理解磋商文件，确定磋商文件内容是否存在歧义、重大缺陷；</w:t>
      </w:r>
    </w:p>
    <w:p>
      <w:pPr>
        <w:widowControl w:val="0"/>
        <w:adjustRightInd w:val="0"/>
        <w:snapToGrid w:val="0"/>
        <w:spacing w:line="360" w:lineRule="auto"/>
        <w:ind w:firstLine="480"/>
      </w:pPr>
      <w:r>
        <w:rPr>
          <w:rFonts w:hint="eastAsia"/>
        </w:rPr>
        <w:t>（二）审查供应商响应文件是否满足磋商文件要求，并作出公正评价；</w:t>
      </w:r>
    </w:p>
    <w:p>
      <w:pPr>
        <w:widowControl w:val="0"/>
        <w:adjustRightInd w:val="0"/>
        <w:snapToGrid w:val="0"/>
        <w:spacing w:line="360" w:lineRule="auto"/>
        <w:ind w:firstLine="480"/>
      </w:pPr>
      <w:r>
        <w:rPr>
          <w:rFonts w:hint="eastAsia"/>
        </w:rPr>
        <w:t>（三）根据需要要求供应商对磋商文件有关事项作出澄清、说明或者纠正；</w:t>
      </w:r>
    </w:p>
    <w:p>
      <w:pPr>
        <w:widowControl w:val="0"/>
        <w:adjustRightInd w:val="0"/>
        <w:snapToGrid w:val="0"/>
        <w:spacing w:line="360" w:lineRule="auto"/>
        <w:ind w:firstLine="480"/>
      </w:pPr>
      <w:r>
        <w:rPr>
          <w:rFonts w:hint="eastAsia"/>
        </w:rPr>
        <w:t>（四）推荐成交供应商，或者受采购人委托确定成交供应商；</w:t>
      </w:r>
    </w:p>
    <w:p>
      <w:pPr>
        <w:widowControl w:val="0"/>
        <w:adjustRightInd w:val="0"/>
        <w:snapToGrid w:val="0"/>
        <w:spacing w:line="360" w:lineRule="auto"/>
        <w:ind w:firstLine="480"/>
      </w:pPr>
      <w:r>
        <w:rPr>
          <w:rFonts w:hint="eastAsia"/>
        </w:rPr>
        <w:t>（五）起草评审报告并进行签署；</w:t>
      </w:r>
    </w:p>
    <w:p>
      <w:pPr>
        <w:widowControl w:val="0"/>
        <w:adjustRightInd w:val="0"/>
        <w:snapToGrid w:val="0"/>
        <w:spacing w:line="360" w:lineRule="auto"/>
        <w:ind w:firstLine="480"/>
      </w:pPr>
      <w:r>
        <w:rPr>
          <w:rFonts w:hint="eastAsia"/>
        </w:rPr>
        <w:t>（六）向采购人报告非法干预评审工作的行为；</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rPr>
        <w:t>（七）法律、法规和规章规定的其他职责。</w:t>
      </w:r>
    </w:p>
    <w:p>
      <w:pPr>
        <w:widowControl w:val="0"/>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6.1.5（实质性要求）磋商过程独立、保密。供应商非法干预磋商过程的，其响应文件作无效处理。</w:t>
      </w:r>
    </w:p>
    <w:p>
      <w:pPr>
        <w:widowControl w:val="0"/>
        <w:adjustRightInd w:val="0"/>
        <w:snapToGrid w:val="0"/>
        <w:spacing w:line="360" w:lineRule="auto"/>
        <w:ind w:firstLine="480"/>
      </w:pPr>
      <w:r>
        <w:rPr>
          <w:rFonts w:hint="eastAsia"/>
        </w:rPr>
        <w:t>6.1.6 磋商小组评价响应文件，除磋商小组要求其澄清、说明或者纠正而提供的资料外，仅依据响应文件本身的内容，不寻求供应商提供其他外部证据。</w:t>
      </w:r>
    </w:p>
    <w:p>
      <w:pPr>
        <w:pStyle w:val="4"/>
      </w:pPr>
      <w:bookmarkStart w:id="157" w:name="_Toc30472"/>
      <w:bookmarkStart w:id="158" w:name="_Toc14892"/>
      <w:bookmarkStart w:id="159" w:name="_Toc2888"/>
      <w:r>
        <w:rPr>
          <w:rFonts w:hint="eastAsia"/>
        </w:rPr>
        <w:t>6.2磋商程序</w:t>
      </w:r>
      <w:bookmarkEnd w:id="157"/>
      <w:bookmarkEnd w:id="158"/>
      <w:bookmarkEnd w:id="159"/>
    </w:p>
    <w:p>
      <w:pPr>
        <w:pStyle w:val="5"/>
      </w:pPr>
      <w:bookmarkStart w:id="160" w:name="_Toc2531"/>
      <w:r>
        <w:rPr>
          <w:rFonts w:hint="eastAsia"/>
        </w:rPr>
        <w:t>6.2.1审查磋商文件</w:t>
      </w:r>
      <w:bookmarkEnd w:id="160"/>
    </w:p>
    <w:p>
      <w:pPr>
        <w:widowControl w:val="0"/>
        <w:adjustRightInd w:val="0"/>
        <w:snapToGrid w:val="0"/>
        <w:spacing w:line="44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磋商小组正式评审前，应当对磋商文件进行熟悉和理解，内容主要包括磋商文件中供应商资格条件要求、采购项目技术、服务和商务要求、磋商办法和标准、以及采购合同主要条款等。</w:t>
      </w:r>
    </w:p>
    <w:p>
      <w:pPr>
        <w:pStyle w:val="5"/>
      </w:pPr>
      <w:bookmarkStart w:id="161" w:name="_Toc12016"/>
      <w:r>
        <w:rPr>
          <w:rFonts w:hint="eastAsia"/>
        </w:rPr>
        <w:t>6.2.2资格性审查</w:t>
      </w:r>
      <w:bookmarkEnd w:id="161"/>
    </w:p>
    <w:p>
      <w:pPr>
        <w:widowControl w:val="0"/>
        <w:adjustRightInd w:val="0"/>
        <w:snapToGrid w:val="0"/>
        <w:spacing w:line="360" w:lineRule="auto"/>
        <w:ind w:firstLine="480"/>
      </w:pPr>
      <w:r>
        <w:rPr>
          <w:rFonts w:hint="eastAsia"/>
        </w:rPr>
        <w:t>6.2.2.1本项目需要磋商小组进行资格性审查。</w:t>
      </w:r>
    </w:p>
    <w:p>
      <w:pPr>
        <w:widowControl w:val="0"/>
        <w:adjustRightInd w:val="0"/>
        <w:snapToGrid w:val="0"/>
        <w:spacing w:line="360" w:lineRule="auto"/>
        <w:ind w:firstLine="480"/>
      </w:pPr>
      <w:r>
        <w:rPr>
          <w:rFonts w:hint="eastAsia"/>
        </w:rPr>
        <w:t>6.2.2.2磋商小组应依据法律法规和磋商文件的规定，对响应文件是否按照规定要求提供资格性证明材料、是否属于禁止参加磋商的供应商等进行审查，以确定供应商是否具备磋商资格。</w:t>
      </w:r>
    </w:p>
    <w:bookmarkEnd w:id="79"/>
    <w:bookmarkEnd w:id="80"/>
    <w:bookmarkEnd w:id="81"/>
    <w:bookmarkEnd w:id="82"/>
    <w:bookmarkEnd w:id="83"/>
    <w:bookmarkEnd w:id="84"/>
    <w:p>
      <w:pPr>
        <w:ind w:firstLine="482"/>
        <w:rPr>
          <w:b/>
          <w:bCs/>
        </w:rPr>
      </w:pPr>
      <w:r>
        <w:rPr>
          <w:rFonts w:hint="eastAsia"/>
          <w:b/>
          <w:bCs/>
        </w:rPr>
        <w:t>资格性审查标准如下：</w:t>
      </w:r>
    </w:p>
    <w:tbl>
      <w:tblPr>
        <w:tblStyle w:val="43"/>
        <w:tblW w:w="867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73"/>
        <w:gridCol w:w="5065"/>
        <w:gridCol w:w="77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b/>
                <w:sz w:val="21"/>
                <w:szCs w:val="21"/>
              </w:rPr>
            </w:pPr>
            <w:r>
              <w:rPr>
                <w:rFonts w:hint="eastAsia"/>
                <w:b/>
                <w:sz w:val="21"/>
                <w:szCs w:val="21"/>
              </w:rPr>
              <w:t>序号</w:t>
            </w:r>
          </w:p>
        </w:tc>
        <w:tc>
          <w:tcPr>
            <w:tcW w:w="2073" w:type="dxa"/>
            <w:vAlign w:val="center"/>
          </w:tcPr>
          <w:p>
            <w:pPr>
              <w:widowControl w:val="0"/>
              <w:tabs>
                <w:tab w:val="left" w:pos="741"/>
                <w:tab w:val="center" w:pos="1570"/>
              </w:tabs>
              <w:adjustRightInd w:val="0"/>
              <w:snapToGrid w:val="0"/>
              <w:spacing w:line="360" w:lineRule="auto"/>
              <w:ind w:firstLine="0" w:firstLineChars="0"/>
              <w:jc w:val="center"/>
              <w:rPr>
                <w:b/>
                <w:sz w:val="21"/>
                <w:szCs w:val="21"/>
              </w:rPr>
            </w:pPr>
            <w:r>
              <w:rPr>
                <w:rFonts w:hint="eastAsia"/>
                <w:b/>
                <w:sz w:val="21"/>
                <w:szCs w:val="21"/>
              </w:rPr>
              <w:t>项     目</w:t>
            </w:r>
          </w:p>
        </w:tc>
        <w:tc>
          <w:tcPr>
            <w:tcW w:w="5065" w:type="dxa"/>
            <w:vAlign w:val="center"/>
          </w:tcPr>
          <w:p>
            <w:pPr>
              <w:widowControl w:val="0"/>
              <w:adjustRightInd w:val="0"/>
              <w:snapToGrid w:val="0"/>
              <w:spacing w:line="360" w:lineRule="auto"/>
              <w:ind w:firstLine="0" w:firstLineChars="0"/>
              <w:jc w:val="center"/>
              <w:rPr>
                <w:b/>
                <w:sz w:val="21"/>
                <w:szCs w:val="21"/>
              </w:rPr>
            </w:pPr>
            <w:r>
              <w:rPr>
                <w:rFonts w:hint="eastAsia"/>
                <w:b/>
                <w:sz w:val="21"/>
                <w:szCs w:val="21"/>
              </w:rPr>
              <w:t>合格条件</w:t>
            </w:r>
          </w:p>
        </w:tc>
        <w:tc>
          <w:tcPr>
            <w:tcW w:w="773" w:type="dxa"/>
            <w:vAlign w:val="center"/>
          </w:tcPr>
          <w:p>
            <w:pPr>
              <w:widowControl w:val="0"/>
              <w:adjustRightInd w:val="0"/>
              <w:snapToGrid w:val="0"/>
              <w:spacing w:line="360" w:lineRule="auto"/>
              <w:ind w:firstLine="0" w:firstLineChars="0"/>
              <w:jc w:val="center"/>
              <w:rPr>
                <w:b/>
                <w:sz w:val="21"/>
                <w:szCs w:val="21"/>
              </w:rPr>
            </w:pPr>
            <w:r>
              <w:rPr>
                <w:rFonts w:hint="eastAsia"/>
                <w:b/>
                <w:sz w:val="21"/>
                <w:szCs w:val="21"/>
              </w:rPr>
              <w:t>结论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1</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具有独立承担民事责任的能力的证明材料</w:t>
            </w:r>
          </w:p>
        </w:tc>
        <w:tc>
          <w:tcPr>
            <w:tcW w:w="5065" w:type="dxa"/>
            <w:vAlign w:val="center"/>
          </w:tcPr>
          <w:p>
            <w:pPr>
              <w:adjustRightInd w:val="0"/>
              <w:snapToGrid w:val="0"/>
              <w:spacing w:line="360" w:lineRule="auto"/>
              <w:ind w:firstLine="0" w:firstLineChars="0"/>
              <w:rPr>
                <w:rFonts w:hAnsi="Calibri" w:cs="Times New Roman"/>
                <w:bCs/>
                <w:sz w:val="21"/>
                <w:szCs w:val="21"/>
              </w:rPr>
            </w:pPr>
            <w:r>
              <w:rPr>
                <w:rFonts w:hint="eastAsia" w:hAnsi="Calibri" w:cs="Times New Roman"/>
                <w:bCs/>
                <w:sz w:val="21"/>
                <w:szCs w:val="21"/>
              </w:rPr>
              <w:t>①企业法人：提交“统一社会信用代码的营业执照”；</w:t>
            </w:r>
          </w:p>
          <w:p>
            <w:pPr>
              <w:adjustRightInd w:val="0"/>
              <w:snapToGrid w:val="0"/>
              <w:spacing w:line="360" w:lineRule="auto"/>
              <w:ind w:firstLine="0" w:firstLineChars="0"/>
              <w:rPr>
                <w:rFonts w:hAnsi="Calibri" w:cs="Times New Roman"/>
                <w:bCs/>
                <w:sz w:val="21"/>
                <w:szCs w:val="21"/>
              </w:rPr>
            </w:pPr>
            <w:r>
              <w:rPr>
                <w:rFonts w:hint="eastAsia" w:hAnsi="Calibri" w:cs="Times New Roman"/>
                <w:bCs/>
                <w:sz w:val="21"/>
                <w:szCs w:val="21"/>
              </w:rPr>
              <w:t>②事业法人：提交“统一社会信用代码的事业单位法人证书”；</w:t>
            </w:r>
          </w:p>
          <w:p>
            <w:pPr>
              <w:adjustRightInd w:val="0"/>
              <w:snapToGrid w:val="0"/>
              <w:spacing w:line="360" w:lineRule="auto"/>
              <w:ind w:firstLine="0" w:firstLineChars="0"/>
              <w:rPr>
                <w:rFonts w:hAnsi="Calibri" w:cs="Times New Roman"/>
                <w:bCs/>
                <w:sz w:val="21"/>
                <w:szCs w:val="21"/>
              </w:rPr>
            </w:pPr>
            <w:r>
              <w:rPr>
                <w:rFonts w:hint="eastAsia" w:hAnsi="Calibri" w:cs="Times New Roman"/>
                <w:bCs/>
                <w:sz w:val="21"/>
                <w:szCs w:val="21"/>
              </w:rPr>
              <w:t>③其他组织：提交“相关主管部门颁发的准许执业证明文件或其他证明材料”；</w:t>
            </w:r>
          </w:p>
          <w:p>
            <w:pPr>
              <w:pStyle w:val="2"/>
              <w:autoSpaceDE/>
              <w:autoSpaceDN/>
              <w:snapToGrid w:val="0"/>
              <w:spacing w:line="360" w:lineRule="auto"/>
              <w:rPr>
                <w:rFonts w:ascii="宋体" w:hAnsi="宋体" w:eastAsia="宋体" w:cs="宋体"/>
                <w:bCs/>
                <w:color w:val="auto"/>
                <w:sz w:val="21"/>
                <w:szCs w:val="21"/>
              </w:rPr>
            </w:pPr>
            <w:r>
              <w:rPr>
                <w:rFonts w:hint="eastAsia" w:ascii="宋体" w:hAnsi="Calibri" w:eastAsia="宋体"/>
                <w:bCs/>
                <w:sz w:val="21"/>
                <w:szCs w:val="21"/>
              </w:rPr>
              <w:t>（以上均提供复印件，加盖公章。）</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2</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具备良好商业信誉的证明材料</w:t>
            </w:r>
          </w:p>
        </w:tc>
        <w:tc>
          <w:tcPr>
            <w:tcW w:w="5065" w:type="dxa"/>
            <w:vAlign w:val="center"/>
          </w:tcPr>
          <w:p>
            <w:pPr>
              <w:pStyle w:val="204"/>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提供承诺函，格式详见磋商文件；</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3</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具备健全的财务会计制度的证明材料</w:t>
            </w:r>
          </w:p>
        </w:tc>
        <w:tc>
          <w:tcPr>
            <w:tcW w:w="5065" w:type="dxa"/>
            <w:vAlign w:val="center"/>
          </w:tcPr>
          <w:p>
            <w:pPr>
              <w:pStyle w:val="204"/>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①可提供20</w:t>
            </w:r>
            <w:r>
              <w:rPr>
                <w:rFonts w:hint="eastAsia"/>
                <w:bCs/>
                <w:sz w:val="21"/>
                <w:szCs w:val="21"/>
                <w:lang w:val="en-US" w:eastAsia="zh-CN"/>
              </w:rPr>
              <w:t>19</w:t>
            </w:r>
            <w:r>
              <w:rPr>
                <w:rFonts w:hint="eastAsia"/>
                <w:bCs/>
                <w:sz w:val="21"/>
                <w:szCs w:val="21"/>
              </w:rPr>
              <w:t>或20</w:t>
            </w:r>
            <w:r>
              <w:rPr>
                <w:rFonts w:hint="eastAsia"/>
                <w:bCs/>
                <w:sz w:val="21"/>
                <w:szCs w:val="21"/>
                <w:lang w:val="en-US" w:eastAsia="zh-CN"/>
              </w:rPr>
              <w:t>20</w:t>
            </w:r>
            <w:r>
              <w:rPr>
                <w:rFonts w:hint="eastAsia"/>
                <w:bCs/>
                <w:sz w:val="21"/>
                <w:szCs w:val="21"/>
              </w:rPr>
              <w:t>年度经审计的财务报告复印件（包含审计报告、审计报告中所涉及的财务报表和报表附注）；</w:t>
            </w:r>
          </w:p>
          <w:p>
            <w:pPr>
              <w:pStyle w:val="204"/>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②也可提供2020年或2021年供应商内部的财务报表复印件（至少包含资产负债表）；</w:t>
            </w:r>
          </w:p>
          <w:p>
            <w:pPr>
              <w:pStyle w:val="204"/>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③也可提供响应文件递交截止日前一年内银行出具的有效资信证明；</w:t>
            </w:r>
          </w:p>
          <w:p>
            <w:pPr>
              <w:pStyle w:val="204"/>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④供应商注册时间距响应文件递交截止日不足一年的，也可提供在工商备案的公司章程复印件；</w:t>
            </w:r>
          </w:p>
          <w:p>
            <w:pPr>
              <w:pStyle w:val="204"/>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⑤复印件加盖公章。</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bCs/>
                <w:sz w:val="21"/>
                <w:szCs w:val="21"/>
              </w:rPr>
            </w:pPr>
          </w:p>
          <w:p>
            <w:pPr>
              <w:widowControl w:val="0"/>
              <w:adjustRightInd w:val="0"/>
              <w:snapToGrid w:val="0"/>
              <w:spacing w:line="360" w:lineRule="auto"/>
              <w:ind w:firstLine="0" w:firstLineChars="0"/>
              <w:jc w:val="center"/>
              <w:rPr>
                <w:bCs/>
                <w:sz w:val="21"/>
                <w:szCs w:val="21"/>
              </w:rPr>
            </w:pPr>
          </w:p>
          <w:p>
            <w:pPr>
              <w:widowControl w:val="0"/>
              <w:adjustRightInd w:val="0"/>
              <w:snapToGrid w:val="0"/>
              <w:spacing w:line="360" w:lineRule="auto"/>
              <w:ind w:firstLine="0" w:firstLineChars="0"/>
              <w:jc w:val="center"/>
              <w:rPr>
                <w:bCs/>
                <w:sz w:val="21"/>
                <w:szCs w:val="21"/>
              </w:rPr>
            </w:pPr>
          </w:p>
          <w:p>
            <w:pPr>
              <w:widowControl w:val="0"/>
              <w:adjustRightInd w:val="0"/>
              <w:snapToGrid w:val="0"/>
              <w:spacing w:line="360" w:lineRule="auto"/>
              <w:ind w:firstLine="0" w:firstLineChars="0"/>
              <w:jc w:val="center"/>
              <w:rPr>
                <w:bCs/>
                <w:sz w:val="21"/>
                <w:szCs w:val="21"/>
              </w:rPr>
            </w:pPr>
            <w:r>
              <w:rPr>
                <w:rFonts w:hint="eastAsia"/>
                <w:bCs/>
                <w:sz w:val="21"/>
                <w:szCs w:val="21"/>
              </w:rPr>
              <w:t>4</w:t>
            </w:r>
          </w:p>
        </w:tc>
        <w:tc>
          <w:tcPr>
            <w:tcW w:w="2073" w:type="dxa"/>
            <w:vAlign w:val="center"/>
          </w:tcPr>
          <w:p>
            <w:pPr>
              <w:widowControl w:val="0"/>
              <w:adjustRightInd w:val="0"/>
              <w:snapToGrid w:val="0"/>
              <w:spacing w:line="360" w:lineRule="auto"/>
              <w:ind w:firstLine="0" w:firstLineChars="0"/>
              <w:jc w:val="center"/>
              <w:rPr>
                <w:bCs/>
                <w:sz w:val="21"/>
                <w:szCs w:val="21"/>
              </w:rPr>
            </w:pPr>
          </w:p>
          <w:p>
            <w:pPr>
              <w:widowControl w:val="0"/>
              <w:adjustRightInd w:val="0"/>
              <w:snapToGrid w:val="0"/>
              <w:spacing w:line="360" w:lineRule="auto"/>
              <w:ind w:firstLine="0" w:firstLineChars="0"/>
              <w:rPr>
                <w:bCs/>
                <w:sz w:val="21"/>
                <w:szCs w:val="21"/>
              </w:rPr>
            </w:pPr>
            <w:r>
              <w:rPr>
                <w:rFonts w:hint="eastAsia"/>
                <w:bCs/>
                <w:sz w:val="21"/>
                <w:szCs w:val="21"/>
              </w:rPr>
              <w:t>供应商有依法缴纳税收的良好记录</w:t>
            </w:r>
          </w:p>
        </w:tc>
        <w:tc>
          <w:tcPr>
            <w:tcW w:w="5065" w:type="dxa"/>
            <w:vAlign w:val="center"/>
          </w:tcPr>
          <w:p>
            <w:pPr>
              <w:pStyle w:val="205"/>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提供202</w:t>
            </w:r>
            <w:r>
              <w:rPr>
                <w:rFonts w:hint="eastAsia"/>
                <w:bCs/>
                <w:sz w:val="21"/>
                <w:szCs w:val="21"/>
                <w:lang w:val="en-US" w:eastAsia="zh-CN"/>
              </w:rPr>
              <w:t>1</w:t>
            </w:r>
            <w:r>
              <w:rPr>
                <w:rFonts w:hint="eastAsia"/>
                <w:bCs/>
                <w:sz w:val="21"/>
                <w:szCs w:val="21"/>
              </w:rPr>
              <w:t>年1月（含）以来任意时段（至少1个月）的缴纳税收的银行电子回单或者税务部门出具的纳税证明或完税证明或有效票据的复印件【1.复印件加盖公章；2.依法免税的供应商，应提供相应文件证明其依法免税（不含供应商承诺）】；</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5</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供应商有依法缴纳社会保障资金的良好记录</w:t>
            </w:r>
          </w:p>
        </w:tc>
        <w:tc>
          <w:tcPr>
            <w:tcW w:w="5065" w:type="dxa"/>
            <w:vAlign w:val="center"/>
          </w:tcPr>
          <w:p>
            <w:pPr>
              <w:pStyle w:val="205"/>
              <w:widowControl w:val="0"/>
              <w:tabs>
                <w:tab w:val="left" w:pos="709"/>
                <w:tab w:val="left" w:pos="993"/>
              </w:tabs>
              <w:adjustRightInd w:val="0"/>
              <w:snapToGrid w:val="0"/>
              <w:spacing w:line="360" w:lineRule="auto"/>
              <w:ind w:firstLine="0" w:firstLineChars="0"/>
              <w:rPr>
                <w:bCs/>
                <w:sz w:val="21"/>
                <w:szCs w:val="21"/>
              </w:rPr>
            </w:pPr>
            <w:r>
              <w:rPr>
                <w:rFonts w:hint="eastAsia"/>
                <w:bCs/>
                <w:sz w:val="21"/>
                <w:szCs w:val="21"/>
              </w:rPr>
              <w:t>提供202</w:t>
            </w:r>
            <w:r>
              <w:rPr>
                <w:rFonts w:hint="eastAsia"/>
                <w:bCs/>
                <w:sz w:val="21"/>
                <w:szCs w:val="21"/>
                <w:lang w:val="en-US" w:eastAsia="zh-CN"/>
              </w:rPr>
              <w:t>1</w:t>
            </w:r>
            <w:r>
              <w:rPr>
                <w:rFonts w:hint="eastAsia"/>
                <w:bCs/>
                <w:sz w:val="21"/>
                <w:szCs w:val="21"/>
              </w:rPr>
              <w:t>年1月（含）以来任意时段（至少1个月）的缴纳社保的银行电子回单或社保部门出具的社保缴纳证明材料或有效票据复印件（复印件加盖公章）；</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6</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具备履行合同所必需的设备和专业技术能力的证明材料</w:t>
            </w:r>
          </w:p>
        </w:tc>
        <w:tc>
          <w:tcPr>
            <w:tcW w:w="5065" w:type="dxa"/>
            <w:vAlign w:val="center"/>
          </w:tcPr>
          <w:p>
            <w:pPr>
              <w:pStyle w:val="75"/>
              <w:adjustRightInd w:val="0"/>
              <w:snapToGrid w:val="0"/>
              <w:ind w:firstLine="0" w:firstLineChars="0"/>
              <w:rPr>
                <w:bCs/>
                <w:szCs w:val="21"/>
              </w:rPr>
            </w:pPr>
            <w:r>
              <w:rPr>
                <w:rFonts w:hint="eastAsia"/>
                <w:bCs/>
                <w:szCs w:val="21"/>
              </w:rPr>
              <w:t>提供承诺函，格式详见磋商文件；</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7</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参加采购活动前三年内在经营活动中没有重大违法记录的证明材料</w:t>
            </w:r>
          </w:p>
        </w:tc>
        <w:tc>
          <w:tcPr>
            <w:tcW w:w="5065" w:type="dxa"/>
            <w:vAlign w:val="center"/>
          </w:tcPr>
          <w:p>
            <w:pPr>
              <w:pStyle w:val="75"/>
              <w:adjustRightInd w:val="0"/>
              <w:snapToGrid w:val="0"/>
              <w:ind w:firstLine="0" w:firstLineChars="0"/>
              <w:rPr>
                <w:bCs/>
                <w:szCs w:val="21"/>
              </w:rPr>
            </w:pPr>
            <w:r>
              <w:rPr>
                <w:rFonts w:hint="eastAsia"/>
                <w:bCs/>
                <w:szCs w:val="21"/>
              </w:rPr>
              <w:t>提供承诺函，格式详见磋商文件；</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62" w:type="dxa"/>
            <w:vAlign w:val="center"/>
          </w:tcPr>
          <w:p>
            <w:pPr>
              <w:widowControl w:val="0"/>
              <w:adjustRightInd w:val="0"/>
              <w:snapToGrid w:val="0"/>
              <w:spacing w:line="360" w:lineRule="auto"/>
              <w:ind w:firstLine="0" w:firstLineChars="0"/>
              <w:jc w:val="center"/>
              <w:rPr>
                <w:bCs/>
                <w:sz w:val="21"/>
                <w:szCs w:val="21"/>
              </w:rPr>
            </w:pPr>
            <w:r>
              <w:rPr>
                <w:rFonts w:hint="eastAsia"/>
                <w:bCs/>
                <w:sz w:val="21"/>
                <w:szCs w:val="21"/>
              </w:rPr>
              <w:t>8</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法律、行政法规规定的其他条件</w:t>
            </w:r>
          </w:p>
        </w:tc>
        <w:tc>
          <w:tcPr>
            <w:tcW w:w="5065" w:type="dxa"/>
            <w:vAlign w:val="center"/>
          </w:tcPr>
          <w:p>
            <w:pPr>
              <w:pStyle w:val="75"/>
              <w:adjustRightInd w:val="0"/>
              <w:snapToGrid w:val="0"/>
              <w:ind w:firstLine="0" w:firstLineChars="0"/>
              <w:rPr>
                <w:bCs/>
                <w:szCs w:val="21"/>
              </w:rPr>
            </w:pPr>
            <w:r>
              <w:rPr>
                <w:rFonts w:hint="eastAsia"/>
                <w:bCs/>
                <w:szCs w:val="21"/>
              </w:rPr>
              <w:t>提供承诺函，格式详见磋商文件；</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rFonts w:hint="default" w:eastAsia="宋体"/>
                <w:bCs/>
                <w:sz w:val="21"/>
                <w:szCs w:val="21"/>
                <w:lang w:val="en-US" w:eastAsia="zh-CN"/>
              </w:rPr>
            </w:pPr>
            <w:r>
              <w:rPr>
                <w:rFonts w:hint="eastAsia"/>
                <w:bCs/>
                <w:sz w:val="21"/>
                <w:szCs w:val="21"/>
                <w:lang w:val="en-US" w:eastAsia="zh-CN"/>
              </w:rPr>
              <w:t>9</w:t>
            </w:r>
          </w:p>
        </w:tc>
        <w:tc>
          <w:tcPr>
            <w:tcW w:w="2073" w:type="dxa"/>
            <w:vAlign w:val="center"/>
          </w:tcPr>
          <w:p>
            <w:pPr>
              <w:widowControl w:val="0"/>
              <w:adjustRightInd w:val="0"/>
              <w:snapToGrid w:val="0"/>
              <w:spacing w:line="360" w:lineRule="auto"/>
              <w:ind w:left="0" w:leftChars="0" w:firstLine="0" w:firstLineChars="0"/>
              <w:rPr>
                <w:rFonts w:hint="default" w:eastAsia="宋体"/>
                <w:bCs/>
                <w:sz w:val="21"/>
                <w:szCs w:val="21"/>
                <w:lang w:val="en-US" w:eastAsia="zh-CN"/>
              </w:rPr>
            </w:pPr>
            <w:r>
              <w:rPr>
                <w:rFonts w:hint="eastAsia"/>
                <w:bCs/>
                <w:sz w:val="21"/>
                <w:szCs w:val="21"/>
                <w:lang w:val="en-US" w:eastAsia="zh-CN"/>
              </w:rPr>
              <w:t>具备建设行政主管部门颁发的建筑装饰工程设计专项资质乙级及以上资质</w:t>
            </w:r>
          </w:p>
        </w:tc>
        <w:tc>
          <w:tcPr>
            <w:tcW w:w="5065" w:type="dxa"/>
            <w:vAlign w:val="center"/>
          </w:tcPr>
          <w:p>
            <w:pPr>
              <w:widowControl w:val="0"/>
              <w:adjustRightInd w:val="0"/>
              <w:snapToGrid w:val="0"/>
              <w:spacing w:line="360" w:lineRule="auto"/>
              <w:ind w:firstLine="0" w:firstLineChars="0"/>
              <w:jc w:val="both"/>
              <w:rPr>
                <w:rFonts w:hint="default" w:eastAsia="宋体"/>
                <w:bCs/>
                <w:sz w:val="21"/>
                <w:szCs w:val="21"/>
                <w:lang w:val="en-US" w:eastAsia="zh-CN"/>
              </w:rPr>
            </w:pPr>
            <w:r>
              <w:rPr>
                <w:rFonts w:hint="eastAsia"/>
                <w:b w:val="0"/>
                <w:bCs/>
                <w:sz w:val="21"/>
                <w:szCs w:val="21"/>
                <w:u w:val="none"/>
                <w:lang w:val="en-US" w:eastAsia="zh-CN"/>
              </w:rPr>
              <w:t>提供复印件，加盖公章。</w:t>
            </w:r>
          </w:p>
        </w:tc>
        <w:tc>
          <w:tcPr>
            <w:tcW w:w="773" w:type="dxa"/>
            <w:vAlign w:val="center"/>
          </w:tcPr>
          <w:p>
            <w:pPr>
              <w:pStyle w:val="2"/>
              <w:autoSpaceDE/>
              <w:autoSpaceDN/>
              <w:snapToGrid w:val="0"/>
              <w:spacing w:line="360" w:lineRule="auto"/>
              <w:rPr>
                <w:rFonts w:ascii="宋体" w:hAnsi="宋体" w:eastAsia="宋体" w:cs="宋体"/>
                <w:bCs/>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rFonts w:hint="default" w:eastAsia="宋体"/>
                <w:bCs/>
                <w:sz w:val="21"/>
                <w:szCs w:val="21"/>
                <w:lang w:val="en-US" w:eastAsia="zh-CN"/>
              </w:rPr>
            </w:pPr>
            <w:r>
              <w:rPr>
                <w:rFonts w:hint="eastAsia"/>
                <w:bCs/>
                <w:sz w:val="21"/>
                <w:szCs w:val="21"/>
                <w:lang w:val="en-US" w:eastAsia="zh-CN"/>
              </w:rPr>
              <w:t>10</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联合体磋商</w:t>
            </w:r>
          </w:p>
        </w:tc>
        <w:tc>
          <w:tcPr>
            <w:tcW w:w="5065"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供应商若为联合体的，需提供联合体磋商协议，并满足磋商文件要求。若不是联合体磋商，则可不提供联合体磋商协议。</w:t>
            </w:r>
          </w:p>
        </w:tc>
        <w:tc>
          <w:tcPr>
            <w:tcW w:w="773" w:type="dxa"/>
            <w:vAlign w:val="center"/>
          </w:tcPr>
          <w:p>
            <w:pPr>
              <w:pStyle w:val="2"/>
              <w:autoSpaceDE/>
              <w:autoSpaceDN/>
              <w:snapToGrid w:val="0"/>
              <w:spacing w:line="360" w:lineRule="auto"/>
              <w:rPr>
                <w:rFonts w:ascii="宋体" w:hAnsi="宋体" w:eastAsia="宋体" w:cs="宋体"/>
                <w:bCs/>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rFonts w:hint="eastAsia" w:eastAsia="宋体"/>
                <w:bCs/>
                <w:sz w:val="21"/>
                <w:szCs w:val="21"/>
                <w:lang w:val="en-US" w:eastAsia="zh-CN"/>
              </w:rPr>
            </w:pPr>
            <w:r>
              <w:rPr>
                <w:rFonts w:hint="eastAsia"/>
                <w:bCs/>
                <w:sz w:val="21"/>
                <w:szCs w:val="21"/>
              </w:rPr>
              <w:t>1</w:t>
            </w:r>
            <w:r>
              <w:rPr>
                <w:rFonts w:hint="eastAsia"/>
                <w:bCs/>
                <w:sz w:val="21"/>
                <w:szCs w:val="21"/>
                <w:lang w:val="en-US" w:eastAsia="zh-CN"/>
              </w:rPr>
              <w:t>1</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法定代表人（单位负责人）身份证明书及法定代表人（单位负责人）身份证或护照复印件</w:t>
            </w:r>
          </w:p>
        </w:tc>
        <w:tc>
          <w:tcPr>
            <w:tcW w:w="5065" w:type="dxa"/>
            <w:vAlign w:val="center"/>
          </w:tcPr>
          <w:p>
            <w:pPr>
              <w:widowControl w:val="0"/>
              <w:adjustRightInd w:val="0"/>
              <w:snapToGrid w:val="0"/>
              <w:spacing w:line="360" w:lineRule="auto"/>
              <w:ind w:firstLine="0" w:firstLineChars="0"/>
              <w:rPr>
                <w:bCs/>
                <w:sz w:val="21"/>
                <w:szCs w:val="21"/>
              </w:rPr>
            </w:pPr>
            <w:r>
              <w:rPr>
                <w:rFonts w:hint="eastAsia"/>
                <w:bCs/>
                <w:sz w:val="21"/>
                <w:szCs w:val="21"/>
              </w:rPr>
              <w:t>（1）法定代表人（单位负责人）身份证明书原件；（2）法定代表人（单位负责人）身份证复印件（在有效期内, 身份证两面均应复印）或护照复印件（供应商的法定代表人（单位负责人）为外籍人士的，按此提供）；（3）满足磋商文件的要求。</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widowControl w:val="0"/>
              <w:adjustRightInd w:val="0"/>
              <w:snapToGrid w:val="0"/>
              <w:spacing w:line="360" w:lineRule="auto"/>
              <w:ind w:firstLine="0" w:firstLineChars="0"/>
              <w:jc w:val="center"/>
              <w:rPr>
                <w:rFonts w:hint="default" w:eastAsia="宋体"/>
                <w:bCs/>
                <w:sz w:val="21"/>
                <w:szCs w:val="21"/>
                <w:lang w:val="en-US" w:eastAsia="zh-CN"/>
              </w:rPr>
            </w:pPr>
            <w:r>
              <w:rPr>
                <w:rFonts w:hint="eastAsia"/>
                <w:bCs/>
                <w:sz w:val="21"/>
                <w:szCs w:val="21"/>
                <w:lang w:val="en-US" w:eastAsia="zh-CN"/>
              </w:rPr>
              <w:t>12</w:t>
            </w:r>
          </w:p>
        </w:tc>
        <w:tc>
          <w:tcPr>
            <w:tcW w:w="2073" w:type="dxa"/>
            <w:vAlign w:val="center"/>
          </w:tcPr>
          <w:p>
            <w:pPr>
              <w:widowControl w:val="0"/>
              <w:adjustRightInd w:val="0"/>
              <w:snapToGrid w:val="0"/>
              <w:spacing w:line="360" w:lineRule="auto"/>
              <w:ind w:firstLine="0" w:firstLineChars="0"/>
              <w:jc w:val="both"/>
              <w:rPr>
                <w:bCs/>
                <w:sz w:val="21"/>
                <w:szCs w:val="21"/>
              </w:rPr>
            </w:pPr>
            <w:r>
              <w:rPr>
                <w:rFonts w:hint="eastAsia"/>
                <w:bCs/>
                <w:sz w:val="21"/>
                <w:szCs w:val="21"/>
              </w:rPr>
              <w:t>法定代表人（单位负责人）授权书原件及授权代表身份证明材料复印件</w:t>
            </w:r>
          </w:p>
        </w:tc>
        <w:tc>
          <w:tcPr>
            <w:tcW w:w="5065" w:type="dxa"/>
            <w:vAlign w:val="center"/>
          </w:tcPr>
          <w:p>
            <w:pPr>
              <w:widowControl w:val="0"/>
              <w:adjustRightInd w:val="0"/>
              <w:snapToGrid w:val="0"/>
              <w:spacing w:line="360" w:lineRule="auto"/>
              <w:ind w:firstLine="0" w:firstLineChars="0"/>
              <w:rPr>
                <w:bCs/>
                <w:sz w:val="21"/>
                <w:szCs w:val="21"/>
              </w:rPr>
            </w:pPr>
            <w:r>
              <w:rPr>
                <w:rFonts w:hint="eastAsia"/>
                <w:bCs/>
                <w:sz w:val="21"/>
                <w:szCs w:val="21"/>
              </w:rPr>
              <w:t>（1）法定代表人（单位负责人）授权书原件需加盖公章；（2）授权代表身份证复印件（在有效期内,身份证两面均应复印）；（3）满足磋商文件的要求；（4）如响应文件均由供应商法定代表人（单位负责人）签字的则可不提供。</w:t>
            </w:r>
          </w:p>
        </w:tc>
        <w:tc>
          <w:tcPr>
            <w:tcW w:w="773" w:type="dxa"/>
            <w:vAlign w:val="center"/>
          </w:tcPr>
          <w:p>
            <w:pPr>
              <w:widowControl w:val="0"/>
              <w:adjustRightInd w:val="0"/>
              <w:snapToGrid w:val="0"/>
              <w:spacing w:line="360" w:lineRule="auto"/>
              <w:ind w:firstLine="420"/>
              <w:rPr>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673" w:type="dxa"/>
            <w:gridSpan w:val="4"/>
            <w:vAlign w:val="center"/>
          </w:tcPr>
          <w:p>
            <w:pPr>
              <w:widowControl w:val="0"/>
              <w:adjustRightInd w:val="0"/>
              <w:snapToGrid w:val="0"/>
              <w:spacing w:line="360" w:lineRule="auto"/>
              <w:ind w:firstLine="0" w:firstLineChars="0"/>
              <w:rPr>
                <w:bCs/>
                <w:sz w:val="21"/>
                <w:szCs w:val="21"/>
              </w:rPr>
            </w:pPr>
            <w:r>
              <w:rPr>
                <w:rFonts w:hint="eastAsia"/>
                <w:bCs/>
                <w:sz w:val="21"/>
                <w:szCs w:val="21"/>
              </w:rPr>
              <w:t>说明：结论填写“合格”或“不合格”，结论均为“合格”才能允许参加磋商，如结论中有一项为“不合格”，则淘汰该供应商并不允许其参加磋商。</w:t>
            </w:r>
          </w:p>
        </w:tc>
      </w:tr>
    </w:tbl>
    <w:p>
      <w:pPr>
        <w:adjustRightInd w:val="0"/>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6.2.2.3资格性审查结束后，磋商小组应当出具资格性审查报告，没有通过资格审查的供应商，磋商小组应当在资格审查报告中说明原因。</w:t>
      </w:r>
    </w:p>
    <w:p>
      <w:pPr>
        <w:adjustRightInd w:val="0"/>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6.2.2.4磋商小组应依据磋商文件规定的实质性要求，对符合资格的响应文件进行有效性、完整性和响应程度审查，以确定参加磋商的供应商名单。</w:t>
      </w:r>
    </w:p>
    <w:p>
      <w:pPr>
        <w:adjustRightInd w:val="0"/>
        <w:snapToGrid w:val="0"/>
        <w:spacing w:line="360" w:lineRule="auto"/>
        <w:ind w:firstLine="480"/>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rPr>
        <w:t>6.2.2.5代理机构宣布未通过资格性审查的供应商名单时，应当告知供应商未通过审查的</w:t>
      </w:r>
      <w:r>
        <w:rPr>
          <w:rFonts w:hint="eastAsia" w:asciiTheme="minorEastAsia" w:hAnsiTheme="minorEastAsia" w:eastAsiaTheme="minorEastAsia" w:cstheme="minorEastAsia"/>
          <w:b w:val="0"/>
          <w:bCs w:val="0"/>
          <w:sz w:val="24"/>
          <w:szCs w:val="24"/>
        </w:rPr>
        <w:t>原因。</w:t>
      </w:r>
    </w:p>
    <w:p>
      <w:pPr>
        <w:pStyle w:val="5"/>
        <w:keepNext w:val="0"/>
        <w:keepLines w:val="0"/>
        <w:adjustRightInd w:val="0"/>
        <w:snapToGrid w:val="0"/>
        <w:spacing w:line="360" w:lineRule="auto"/>
      </w:pPr>
      <w:r>
        <w:rPr>
          <w:rFonts w:hint="eastAsia"/>
        </w:rPr>
        <w:t>6.2.3通过资格性审查的供应商不足3家的，终止本次采购活动，并发布终止采购活动公告。</w:t>
      </w:r>
    </w:p>
    <w:p>
      <w:pPr>
        <w:pStyle w:val="5"/>
        <w:keepNext w:val="0"/>
        <w:keepLines w:val="0"/>
        <w:adjustRightInd w:val="0"/>
        <w:snapToGrid w:val="0"/>
        <w:spacing w:line="360" w:lineRule="auto"/>
      </w:pPr>
      <w:r>
        <w:rPr>
          <w:rFonts w:hint="eastAsia"/>
        </w:rPr>
        <w:t>6.2.4磋商</w:t>
      </w:r>
    </w:p>
    <w:p>
      <w:pPr>
        <w:widowControl w:val="0"/>
        <w:adjustRightInd w:val="0"/>
        <w:snapToGrid w:val="0"/>
        <w:spacing w:line="360" w:lineRule="auto"/>
        <w:ind w:firstLine="480"/>
      </w:pPr>
      <w:r>
        <w:rPr>
          <w:rFonts w:hint="eastAsia"/>
        </w:rPr>
        <w:t>6.2.4.1磋商小组所有成员集中与单一供应商分别进行一轮或多轮磋商，并给予所有参加磋商的供应商平等的磋商机会。磋商顺序以现场抽签的方式确定。磋商过程中，磋商小组可以根据磋商情况调整磋商轮次。</w:t>
      </w:r>
    </w:p>
    <w:p>
      <w:pPr>
        <w:widowControl w:val="0"/>
        <w:adjustRightInd w:val="0"/>
        <w:snapToGrid w:val="0"/>
        <w:spacing w:line="360" w:lineRule="auto"/>
        <w:ind w:firstLine="482"/>
        <w:rPr>
          <w:b/>
          <w:bCs/>
        </w:rPr>
      </w:pPr>
      <w:r>
        <w:rPr>
          <w:rFonts w:hint="eastAsia"/>
          <w:b/>
          <w:bCs/>
        </w:rPr>
        <w:t>特别提示：</w:t>
      </w:r>
      <w:r>
        <w:rPr>
          <w:rFonts w:hint="eastAsia"/>
          <w:b/>
          <w:bCs/>
          <w:u w:val="single"/>
        </w:rPr>
        <w:t>参加磋商的供应商法定代表人（法定代表人亲自参与磋商的）或其授权代表应持本人有效身份证明原件进入评标室与磋商小组进行磋商</w:t>
      </w:r>
      <w:r>
        <w:rPr>
          <w:rFonts w:hint="eastAsia"/>
          <w:b/>
          <w:bCs/>
        </w:rPr>
        <w:t>。</w:t>
      </w:r>
    </w:p>
    <w:p>
      <w:pPr>
        <w:widowControl w:val="0"/>
        <w:adjustRightInd w:val="0"/>
        <w:snapToGrid w:val="0"/>
        <w:spacing w:line="460" w:lineRule="exact"/>
        <w:ind w:firstLine="480"/>
      </w:pPr>
      <w:r>
        <w:rPr>
          <w:rFonts w:hint="eastAsia"/>
        </w:rPr>
        <w:t>6.2.4.2每轮磋商开始前，磋商小组应根据磋商文件的规定，并结合各供应商的响应文件拟定磋商内容。磋商内容为项目技术、服务及合同条款等内容。其中第3章中加★号的条款为采购项目的最低要求（实质性要求），为非磋商可以降低标准的内容。</w:t>
      </w:r>
    </w:p>
    <w:p>
      <w:pPr>
        <w:widowControl w:val="0"/>
        <w:adjustRightInd w:val="0"/>
        <w:snapToGrid w:val="0"/>
        <w:spacing w:line="460" w:lineRule="exact"/>
        <w:ind w:firstLine="482"/>
        <w:rPr>
          <w:b/>
          <w:bCs/>
        </w:rPr>
      </w:pPr>
      <w:r>
        <w:rPr>
          <w:rFonts w:hint="eastAsia"/>
          <w:b/>
          <w:bCs/>
        </w:rPr>
        <w:t>6.2.4.3在磋商过程中，磋商小组可以根据磋商文件和磋商情况实质性变动磋商文件中的第3章技术服务要求和第7章合同草案条款，但不得变动磋商文件中的其他内容。实质性变动的内容，须经采购人</w:t>
      </w:r>
      <w:r>
        <w:rPr>
          <w:rFonts w:hint="eastAsia"/>
          <w:b/>
          <w:bCs/>
          <w:highlight w:val="none"/>
        </w:rPr>
        <w:t>代表书面确认。</w:t>
      </w:r>
    </w:p>
    <w:p>
      <w:pPr>
        <w:widowControl w:val="0"/>
        <w:adjustRightInd w:val="0"/>
        <w:snapToGrid w:val="0"/>
        <w:spacing w:line="460" w:lineRule="exact"/>
        <w:ind w:firstLine="480"/>
      </w:pPr>
      <w:r>
        <w:rPr>
          <w:rFonts w:hint="eastAsia"/>
        </w:rPr>
        <w:t>6.2.4.4对磋商文件作出的实质性变动是磋商文件的有效组成部分，磋商小组应当及时以书面形式同时通知所有参加磋商的供应商。</w:t>
      </w:r>
    </w:p>
    <w:p>
      <w:pPr>
        <w:widowControl w:val="0"/>
        <w:adjustRightInd w:val="0"/>
        <w:snapToGrid w:val="0"/>
        <w:spacing w:line="460" w:lineRule="exact"/>
        <w:ind w:firstLine="480"/>
      </w:pPr>
      <w:r>
        <w:rPr>
          <w:rFonts w:hint="eastAsia"/>
        </w:rPr>
        <w:t>6.2.4.5磋商过程中，磋商文件变动的，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注：要求供应商重新提交的响应文件，不必按照首次提交的响应文件内容格式提交，只需供应商就变动的内容提交相应的响应文件）。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widowControl w:val="0"/>
        <w:adjustRightInd w:val="0"/>
        <w:snapToGrid w:val="0"/>
        <w:spacing w:line="460" w:lineRule="exact"/>
        <w:ind w:firstLine="480"/>
      </w:pPr>
      <w:r>
        <w:rPr>
          <w:rFonts w:hint="eastAsia"/>
        </w:rPr>
        <w:t>6.2.4.6磋商过程中，磋商的任何一方不得透露与磋商有关的其他供应商的技术资料、价格和其他信息。</w:t>
      </w:r>
    </w:p>
    <w:p>
      <w:pPr>
        <w:widowControl w:val="0"/>
        <w:adjustRightInd w:val="0"/>
        <w:snapToGrid w:val="0"/>
        <w:spacing w:line="460" w:lineRule="exact"/>
        <w:ind w:firstLine="480"/>
      </w:pPr>
      <w:r>
        <w:rPr>
          <w:rFonts w:hint="eastAsia"/>
        </w:rPr>
        <w:t>6.2.4.7磋商过程中，磋商小组发现或者知晓供应商存在违法、违纪行为的，磋商小组应当将该供应商响应文件作无效处理，不允许其提交最后报价。</w:t>
      </w:r>
    </w:p>
    <w:p>
      <w:pPr>
        <w:widowControl w:val="0"/>
        <w:adjustRightInd w:val="0"/>
        <w:snapToGrid w:val="0"/>
        <w:spacing w:line="460" w:lineRule="exact"/>
        <w:ind w:firstLine="480"/>
      </w:pPr>
      <w:r>
        <w:rPr>
          <w:rFonts w:hint="eastAsia"/>
        </w:rPr>
        <w:t>6.2.4.8磋商小组淘汰供应商的，应当书面通知该供应商，并说明理由。</w:t>
      </w:r>
    </w:p>
    <w:p>
      <w:pPr>
        <w:widowControl w:val="0"/>
        <w:adjustRightInd w:val="0"/>
        <w:snapToGrid w:val="0"/>
        <w:spacing w:line="460" w:lineRule="exact"/>
        <w:ind w:firstLine="480"/>
      </w:pPr>
      <w:r>
        <w:rPr>
          <w:rFonts w:hint="eastAsia"/>
        </w:rPr>
        <w:t>6.2.4.9已提交响应文件的供应商，在提交最后报价之前，可以根据磋商情况退出磋商，供应商的磋商保证金在成交结果公布后无息退还。供应商退出磋商的，应向磋商小组提供退出磋商的书面申明。</w:t>
      </w:r>
    </w:p>
    <w:p>
      <w:pPr>
        <w:widowControl w:val="0"/>
        <w:adjustRightInd w:val="0"/>
        <w:snapToGrid w:val="0"/>
        <w:spacing w:line="460" w:lineRule="exact"/>
        <w:ind w:firstLine="480"/>
      </w:pPr>
      <w:r>
        <w:rPr>
          <w:rFonts w:hint="eastAsia"/>
        </w:rPr>
        <w:t>6.2.4.10磋商完成后，</w:t>
      </w:r>
      <w:r>
        <w:rPr>
          <w:rFonts w:hint="eastAsia"/>
          <w:b/>
          <w:bCs/>
          <w:u w:val="single"/>
        </w:rPr>
        <w:t>磋商小组应出具磋商情况记录表，参与磋商的供应商应对记录确认后签字</w:t>
      </w:r>
      <w:r>
        <w:rPr>
          <w:rFonts w:hint="eastAsia"/>
        </w:rPr>
        <w:t>。磋商情况记录表需包含磋商内容、磋商意见、实质性变动内容等。</w:t>
      </w:r>
    </w:p>
    <w:p>
      <w:pPr>
        <w:pStyle w:val="5"/>
        <w:keepNext w:val="0"/>
        <w:keepLines w:val="0"/>
        <w:adjustRightInd w:val="0"/>
        <w:snapToGrid w:val="0"/>
        <w:spacing w:line="460" w:lineRule="exact"/>
      </w:pPr>
      <w:bookmarkStart w:id="162" w:name="_Toc30144"/>
      <w:r>
        <w:rPr>
          <w:rFonts w:hint="eastAsia"/>
        </w:rPr>
        <w:t>6.2.5最后报价</w:t>
      </w:r>
      <w:bookmarkEnd w:id="162"/>
    </w:p>
    <w:p>
      <w:pPr>
        <w:widowControl w:val="0"/>
        <w:adjustRightInd w:val="0"/>
        <w:snapToGrid w:val="0"/>
        <w:spacing w:line="460" w:lineRule="exact"/>
        <w:ind w:firstLine="480"/>
        <w:rPr>
          <w:b/>
          <w:bCs/>
        </w:rPr>
      </w:pPr>
      <w:r>
        <w:rPr>
          <w:rFonts w:hint="eastAsia"/>
        </w:rPr>
        <w:t>6.2.5.1磋商文件能够详细列明采购标的的技术、服务要求的，磋商结束后，磋商小组应当要求所有实质性响应的供应商在规定时间内提交最后报价，</w:t>
      </w:r>
      <w:r>
        <w:rPr>
          <w:rFonts w:hint="eastAsia"/>
          <w:b/>
          <w:bCs/>
        </w:rPr>
        <w:t>提交最后报价的供应商不得少于3家。</w:t>
      </w:r>
    </w:p>
    <w:p>
      <w:pPr>
        <w:widowControl w:val="0"/>
        <w:adjustRightInd w:val="0"/>
        <w:snapToGrid w:val="0"/>
        <w:spacing w:line="460" w:lineRule="exact"/>
        <w:ind w:firstLine="480"/>
      </w:pPr>
      <w:r>
        <w:rPr>
          <w:rFonts w:hint="eastAsia"/>
        </w:rPr>
        <w:t>6.2.5.2磋商结束后，磋商小组应当要求所有实质性响应的供应商在规定时间内提交最后报价。两轮（若有）以上报价的，</w:t>
      </w:r>
      <w:r>
        <w:rPr>
          <w:rFonts w:hint="eastAsia"/>
          <w:b/>
          <w:bCs/>
        </w:rPr>
        <w:t>供应商在未提高响应文件中承诺的产品及其服务质量的情况下，其最后报价不得高于对该项目之前的报价</w:t>
      </w:r>
      <w:r>
        <w:rPr>
          <w:rFonts w:hint="eastAsia"/>
        </w:rPr>
        <w:t>，否则，磋商小组应当对其响应文件按无效处理，不允许进入综合评分，并书面告知供应商，说明理由。</w:t>
      </w:r>
    </w:p>
    <w:p>
      <w:pPr>
        <w:widowControl w:val="0"/>
        <w:adjustRightInd w:val="0"/>
        <w:snapToGrid w:val="0"/>
        <w:spacing w:line="460" w:lineRule="exact"/>
        <w:ind w:firstLine="480"/>
      </w:pPr>
      <w:r>
        <w:rPr>
          <w:rFonts w:hint="eastAsia"/>
        </w:rPr>
        <w:t>6.2.5.3供应商最后报价应当由法定代表人或其授权代表签字确认或加盖公章，并密封递交代理机构工作人员，由其收集齐后集中递交磋商小组。最后报价是供应商响应文件的有效组成部分。</w:t>
      </w:r>
    </w:p>
    <w:p>
      <w:pPr>
        <w:widowControl w:val="0"/>
        <w:adjustRightInd w:val="0"/>
        <w:snapToGrid w:val="0"/>
        <w:spacing w:line="460" w:lineRule="exact"/>
        <w:ind w:firstLine="480"/>
      </w:pPr>
      <w:r>
        <w:rPr>
          <w:rFonts w:hint="eastAsia"/>
        </w:rPr>
        <w:t>6.2.5.4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
        <w:keepNext w:val="0"/>
        <w:keepLines w:val="0"/>
        <w:adjustRightInd w:val="0"/>
        <w:snapToGrid w:val="0"/>
        <w:spacing w:line="460" w:lineRule="exact"/>
      </w:pPr>
      <w:bookmarkStart w:id="163" w:name="_Toc30140"/>
      <w:r>
        <w:rPr>
          <w:rFonts w:hint="eastAsia"/>
        </w:rPr>
        <w:t>6.2.6比较与评价</w:t>
      </w:r>
      <w:bookmarkEnd w:id="163"/>
    </w:p>
    <w:p>
      <w:pPr>
        <w:widowControl w:val="0"/>
        <w:adjustRightInd w:val="0"/>
        <w:snapToGrid w:val="0"/>
        <w:spacing w:line="460" w:lineRule="exact"/>
        <w:ind w:firstLine="482"/>
        <w:rPr>
          <w:b/>
          <w:bCs/>
        </w:rPr>
      </w:pPr>
      <w:r>
        <w:rPr>
          <w:rFonts w:hint="eastAsia"/>
          <w:b/>
          <w:bCs/>
        </w:rPr>
        <w:t>由磋商小组采用综合评分法对提交最后报价的供应商的响应文件和最后报价进行综合评分，具体要求详见综合评分部分。</w:t>
      </w:r>
      <w:bookmarkStart w:id="164" w:name="_Toc16399"/>
    </w:p>
    <w:p>
      <w:pPr>
        <w:pStyle w:val="5"/>
        <w:keepNext w:val="0"/>
        <w:keepLines w:val="0"/>
        <w:adjustRightInd w:val="0"/>
        <w:snapToGrid w:val="0"/>
        <w:spacing w:line="460" w:lineRule="exact"/>
      </w:pPr>
      <w:r>
        <w:rPr>
          <w:rFonts w:hint="eastAsia"/>
        </w:rPr>
        <w:t>6.2.7推荐成交候选供应商</w:t>
      </w:r>
      <w:bookmarkEnd w:id="164"/>
    </w:p>
    <w:p>
      <w:pPr>
        <w:widowControl w:val="0"/>
        <w:adjustRightInd w:val="0"/>
        <w:snapToGrid w:val="0"/>
        <w:spacing w:line="460" w:lineRule="exact"/>
        <w:ind w:firstLine="480"/>
        <w:rPr>
          <w:rFonts w:asciiTheme="minorEastAsia" w:hAnsiTheme="minorEastAsia" w:eastAsiaTheme="minorEastAsia" w:cstheme="minorEastAsia"/>
        </w:rPr>
      </w:pPr>
      <w:r>
        <w:rPr>
          <w:rFonts w:hint="eastAsia"/>
        </w:rPr>
        <w:t>磋商小组应当根据综合评分情况，</w:t>
      </w:r>
      <w:r>
        <w:rPr>
          <w:rFonts w:hint="eastAsia"/>
          <w:b/>
          <w:bCs/>
        </w:rPr>
        <w:t>按照评审得分由高到低顺序推荐3家以上成交候选供应商</w:t>
      </w:r>
      <w:r>
        <w:rPr>
          <w:rFonts w:hint="eastAsia"/>
        </w:rPr>
        <w:t>，并编写磋商报告。评审得分相同的，按照最后报价由低到高的顺序推荐。评审得分且最后报价相同的，按照技术指标优劣顺序推荐。评审得分且最后报价且技术指标分项得分均相同的，成交候选供应商并列。</w:t>
      </w:r>
    </w:p>
    <w:p>
      <w:pPr>
        <w:pStyle w:val="5"/>
        <w:keepNext w:val="0"/>
        <w:keepLines w:val="0"/>
        <w:adjustRightInd w:val="0"/>
        <w:snapToGrid w:val="0"/>
        <w:spacing w:line="460" w:lineRule="exact"/>
      </w:pPr>
      <w:bookmarkStart w:id="165" w:name="_Toc11398"/>
      <w:r>
        <w:rPr>
          <w:rFonts w:hint="eastAsia"/>
        </w:rPr>
        <w:t>6.2.8编写磋商报告</w:t>
      </w:r>
    </w:p>
    <w:p>
      <w:pPr>
        <w:widowControl w:val="0"/>
        <w:adjustRightInd w:val="0"/>
        <w:snapToGrid w:val="0"/>
        <w:spacing w:line="460" w:lineRule="exact"/>
        <w:ind w:firstLine="480"/>
      </w:pPr>
      <w:r>
        <w:rPr>
          <w:rFonts w:hint="eastAsia"/>
        </w:rPr>
        <w:t>磋商小组推荐成交候选供应商后，应向代理机构出具磋商报告。磋商报告应当包括以下主要内容：</w:t>
      </w:r>
      <w:bookmarkEnd w:id="165"/>
    </w:p>
    <w:p>
      <w:pPr>
        <w:widowControl w:val="0"/>
        <w:adjustRightInd w:val="0"/>
        <w:snapToGrid w:val="0"/>
        <w:spacing w:line="460" w:lineRule="exact"/>
        <w:ind w:firstLine="480"/>
      </w:pPr>
      <w:r>
        <w:rPr>
          <w:rFonts w:hint="eastAsia"/>
        </w:rPr>
        <w:t>（1）邀请供应商参加采购活动的具体方式和相关情况；</w:t>
      </w:r>
    </w:p>
    <w:p>
      <w:pPr>
        <w:widowControl w:val="0"/>
        <w:adjustRightInd w:val="0"/>
        <w:snapToGrid w:val="0"/>
        <w:spacing w:line="460" w:lineRule="exact"/>
        <w:ind w:firstLine="480"/>
      </w:pPr>
      <w:r>
        <w:rPr>
          <w:rFonts w:hint="eastAsia"/>
        </w:rPr>
        <w:t>（2）响应文件开启日期和地点；</w:t>
      </w:r>
    </w:p>
    <w:p>
      <w:pPr>
        <w:widowControl w:val="0"/>
        <w:adjustRightInd w:val="0"/>
        <w:snapToGrid w:val="0"/>
        <w:spacing w:line="460" w:lineRule="exact"/>
        <w:ind w:firstLine="480"/>
      </w:pPr>
      <w:r>
        <w:rPr>
          <w:rFonts w:hint="eastAsia"/>
        </w:rPr>
        <w:t>（3）获取磋商文件的供应商名单和磋商小组成员名单；</w:t>
      </w:r>
    </w:p>
    <w:p>
      <w:pPr>
        <w:widowControl w:val="0"/>
        <w:adjustRightInd w:val="0"/>
        <w:snapToGrid w:val="0"/>
        <w:spacing w:line="460" w:lineRule="exact"/>
        <w:ind w:firstLine="480"/>
      </w:pPr>
      <w:r>
        <w:rPr>
          <w:rFonts w:hint="eastAsia"/>
        </w:rPr>
        <w:t>（4）评审情况记录和说明，包括对供应商的资格审查情况、供应商响应文件审查情况、磋商情况、报价情况等；</w:t>
      </w:r>
    </w:p>
    <w:p>
      <w:pPr>
        <w:widowControl w:val="0"/>
        <w:adjustRightInd w:val="0"/>
        <w:snapToGrid w:val="0"/>
        <w:spacing w:line="460" w:lineRule="exact"/>
        <w:ind w:firstLine="480"/>
      </w:pPr>
      <w:r>
        <w:rPr>
          <w:rFonts w:hint="eastAsia"/>
        </w:rPr>
        <w:t>（5）提出的成交候选供应商的排序名单及理由。</w:t>
      </w:r>
    </w:p>
    <w:p>
      <w:pPr>
        <w:widowControl w:val="0"/>
        <w:adjustRightInd w:val="0"/>
        <w:snapToGrid w:val="0"/>
        <w:spacing w:line="460" w:lineRule="exact"/>
        <w:ind w:firstLine="480"/>
      </w:pPr>
      <w:r>
        <w:rPr>
          <w:rFonts w:hint="eastAsia"/>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keepNext w:val="0"/>
        <w:keepLines w:val="0"/>
        <w:adjustRightInd w:val="0"/>
        <w:snapToGrid w:val="0"/>
        <w:spacing w:line="460" w:lineRule="exact"/>
      </w:pPr>
      <w:bookmarkStart w:id="166" w:name="_Toc11183"/>
      <w:r>
        <w:rPr>
          <w:rFonts w:hint="eastAsia"/>
        </w:rPr>
        <w:t>6.2.9磋商异议处理规则</w:t>
      </w:r>
      <w:bookmarkEnd w:id="166"/>
    </w:p>
    <w:p>
      <w:pPr>
        <w:widowControl w:val="0"/>
        <w:adjustRightInd w:val="0"/>
        <w:snapToGrid w:val="0"/>
        <w:spacing w:line="460" w:lineRule="exact"/>
        <w:ind w:firstLine="480"/>
      </w:pPr>
      <w:r>
        <w:rPr>
          <w:rFonts w:hint="eastAsia"/>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
        <w:keepNext w:val="0"/>
        <w:keepLines w:val="0"/>
        <w:adjustRightInd w:val="0"/>
        <w:snapToGrid w:val="0"/>
        <w:spacing w:line="460" w:lineRule="exact"/>
        <w:rPr>
          <w:rFonts w:asciiTheme="minorEastAsia" w:hAnsiTheme="minorEastAsia" w:eastAsiaTheme="minorEastAsia" w:cstheme="minorEastAsia"/>
        </w:rPr>
      </w:pPr>
      <w:r>
        <w:rPr>
          <w:rFonts w:hint="eastAsia"/>
        </w:rPr>
        <w:t>6.2.10供应商的澄清、说明或者更正</w:t>
      </w:r>
    </w:p>
    <w:p>
      <w:pPr>
        <w:widowControl w:val="0"/>
        <w:adjustRightInd w:val="0"/>
        <w:snapToGrid w:val="0"/>
        <w:spacing w:line="460" w:lineRule="exact"/>
        <w:ind w:firstLine="480"/>
      </w:pPr>
      <w:r>
        <w:rPr>
          <w:rFonts w:hint="eastAsia"/>
        </w:rPr>
        <w:t>磋商小组在对响应文件的有效性、完整性和响应程度进行审查时，对供应商响应文件中含义不明确、同类问题表述不一致或者有明显文字和计算错误的内容，可以书面形式（须由磋商小组全体成员签字）要求供应商作出必要的书面澄清、说明或者更正，并给予供应商必要的反馈时间，</w:t>
      </w:r>
      <w:r>
        <w:rPr>
          <w:rFonts w:hint="eastAsia"/>
          <w:b/>
          <w:bCs/>
        </w:rPr>
        <w:t>反馈时间为90分钟</w:t>
      </w:r>
      <w:r>
        <w:rPr>
          <w:rFonts w:hint="eastAsia"/>
        </w:rPr>
        <w:t>。</w:t>
      </w:r>
    </w:p>
    <w:p>
      <w:pPr>
        <w:widowControl w:val="0"/>
        <w:adjustRightInd w:val="0"/>
        <w:snapToGrid w:val="0"/>
        <w:spacing w:line="460" w:lineRule="exact"/>
        <w:ind w:firstLine="480"/>
      </w:pPr>
      <w:r>
        <w:rPr>
          <w:rFonts w:hint="eastAsia"/>
        </w:rPr>
        <w:t>供应商应当书面澄清、说明或者更正，并由法定代表人或授权代表签字确认或者加盖公章，否则无效。澄清、说明或者更正不影响响应文件的效力，有效的澄清、说明或者更正材料，是响应文件的组成部分。</w:t>
      </w:r>
    </w:p>
    <w:p>
      <w:pPr>
        <w:widowControl w:val="0"/>
        <w:adjustRightInd w:val="0"/>
        <w:snapToGrid w:val="0"/>
        <w:spacing w:line="460" w:lineRule="exact"/>
        <w:ind w:firstLine="480"/>
      </w:pPr>
      <w:r>
        <w:rPr>
          <w:rFonts w:hint="eastAsia"/>
        </w:rPr>
        <w:t>磋商小组要求供应商澄清、说明或者更正，不得超出响应文件的范围，不得以此让供应商实质改变响应文件的内容，不得影响供应商公平竞争。</w:t>
      </w:r>
    </w:p>
    <w:p>
      <w:pPr>
        <w:pStyle w:val="5"/>
        <w:keepNext w:val="0"/>
        <w:keepLines w:val="0"/>
        <w:adjustRightInd w:val="0"/>
        <w:snapToGrid w:val="0"/>
        <w:spacing w:line="460" w:lineRule="exact"/>
      </w:pPr>
      <w:bookmarkStart w:id="167" w:name="_Toc16583"/>
      <w:r>
        <w:rPr>
          <w:rFonts w:hint="eastAsia"/>
        </w:rPr>
        <w:t>6.2.11终止磋商采购活动</w:t>
      </w:r>
      <w:bookmarkEnd w:id="167"/>
    </w:p>
    <w:p>
      <w:pPr>
        <w:widowControl w:val="0"/>
        <w:adjustRightInd w:val="0"/>
        <w:snapToGrid w:val="0"/>
        <w:spacing w:line="460" w:lineRule="exact"/>
        <w:ind w:firstLine="480"/>
      </w:pPr>
      <w:r>
        <w:rPr>
          <w:rFonts w:hint="eastAsia"/>
        </w:rPr>
        <w:t>出现下列情形之一的，采购人或者代理机构应当终止磋商采购活动，发布项目终止公告并说明原因，重新开展采购活动：</w:t>
      </w:r>
    </w:p>
    <w:p>
      <w:pPr>
        <w:widowControl w:val="0"/>
        <w:adjustRightInd w:val="0"/>
        <w:snapToGrid w:val="0"/>
        <w:spacing w:line="460" w:lineRule="exact"/>
        <w:ind w:firstLine="480"/>
      </w:pPr>
      <w:r>
        <w:rPr>
          <w:rFonts w:hint="eastAsia"/>
        </w:rPr>
        <w:t>（1）出现影响采购公正的违法、违规行为的；</w:t>
      </w:r>
    </w:p>
    <w:p>
      <w:pPr>
        <w:widowControl w:val="0"/>
        <w:adjustRightInd w:val="0"/>
        <w:snapToGrid w:val="0"/>
        <w:spacing w:line="460" w:lineRule="exact"/>
        <w:ind w:firstLine="480"/>
      </w:pPr>
      <w:r>
        <w:rPr>
          <w:rFonts w:hint="eastAsia"/>
        </w:rPr>
        <w:t>（2）在采购过程中符合要求的供应商或者报价未超过采购预算的供应商不足3家的。</w:t>
      </w:r>
    </w:p>
    <w:p>
      <w:pPr>
        <w:pStyle w:val="4"/>
        <w:keepNext w:val="0"/>
        <w:keepLines w:val="0"/>
        <w:adjustRightInd w:val="0"/>
        <w:snapToGrid w:val="0"/>
        <w:spacing w:line="460" w:lineRule="exact"/>
      </w:pPr>
      <w:bookmarkStart w:id="168" w:name="_Toc20750"/>
      <w:r>
        <w:rPr>
          <w:rFonts w:hint="eastAsia"/>
        </w:rPr>
        <w:t>6.3综合评分</w:t>
      </w:r>
      <w:bookmarkEnd w:id="168"/>
    </w:p>
    <w:p>
      <w:pPr>
        <w:widowControl w:val="0"/>
        <w:adjustRightInd w:val="0"/>
        <w:snapToGrid w:val="0"/>
        <w:spacing w:line="460" w:lineRule="exact"/>
        <w:ind w:firstLine="480"/>
      </w:pPr>
      <w:r>
        <w:rPr>
          <w:rFonts w:hint="eastAsia"/>
        </w:rPr>
        <w:t>6.3.1本次综合评分的因素是：详见综合评分明细表。</w:t>
      </w:r>
    </w:p>
    <w:p>
      <w:pPr>
        <w:widowControl w:val="0"/>
        <w:adjustRightInd w:val="0"/>
        <w:snapToGrid w:val="0"/>
        <w:spacing w:line="460" w:lineRule="exact"/>
        <w:ind w:firstLine="480"/>
      </w:pPr>
      <w:r>
        <w:rPr>
          <w:rFonts w:hint="eastAsia"/>
        </w:rPr>
        <w:t>6.3.2 本次评审采用综合评分法，评审时，磋商小组各成员应当独立对每个有效响应的文件进行评价、打分，然后汇总每个供应商每项评分因素的得分。磋商小组成员应当根据自身专业情况对每个有效磋商供应商的响应文件进行独立评分，加权汇总每项评分因素的得分，得出每个有效磋商供应商的总分。</w:t>
      </w:r>
    </w:p>
    <w:p>
      <w:pPr>
        <w:widowControl w:val="0"/>
        <w:adjustRightInd w:val="0"/>
        <w:snapToGrid w:val="0"/>
        <w:spacing w:line="460" w:lineRule="exact"/>
        <w:ind w:firstLine="482"/>
        <w:rPr>
          <w:b/>
          <w:bCs/>
        </w:rPr>
      </w:pPr>
      <w:r>
        <w:rPr>
          <w:rFonts w:hint="eastAsia"/>
          <w:b/>
          <w:bCs/>
        </w:rPr>
        <w:t>磋商文件中没有规定的评审标准不得作为评审的依据。</w:t>
      </w:r>
    </w:p>
    <w:p>
      <w:pPr>
        <w:pStyle w:val="5"/>
        <w:keepNext w:val="0"/>
        <w:keepLines w:val="0"/>
        <w:adjustRightInd w:val="0"/>
        <w:snapToGrid w:val="0"/>
        <w:spacing w:line="460" w:lineRule="exact"/>
      </w:pPr>
      <w:r>
        <w:rPr>
          <w:rFonts w:hint="eastAsia"/>
        </w:rPr>
        <w:t xml:space="preserve">6.3.3综合评分明细表 </w:t>
      </w:r>
    </w:p>
    <w:p>
      <w:pPr>
        <w:pStyle w:val="22"/>
        <w:tabs>
          <w:tab w:val="left" w:pos="600"/>
        </w:tabs>
        <w:autoSpaceDE/>
        <w:autoSpaceDN/>
        <w:snapToGrid w:val="0"/>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6.3.3.1综合评分明细表的制定以科学合理、降低评委会自由裁量权为原则。</w:t>
      </w:r>
    </w:p>
    <w:p>
      <w:pPr>
        <w:widowControl w:val="0"/>
        <w:adjustRightInd w:val="0"/>
        <w:snapToGrid w:val="0"/>
        <w:spacing w:line="460" w:lineRule="exact"/>
        <w:ind w:firstLine="480"/>
        <w:rPr>
          <w:rFonts w:eastAsiaTheme="minorEastAsia"/>
          <w:highlight w:val="none"/>
        </w:rPr>
      </w:pPr>
      <w:bookmarkStart w:id="169" w:name="_Toc25077"/>
      <w:r>
        <w:rPr>
          <w:rFonts w:hint="eastAsia" w:asciiTheme="minorEastAsia" w:hAnsiTheme="minorEastAsia" w:eastAsiaTheme="minorEastAsia" w:cstheme="minorEastAsia"/>
          <w:highlight w:val="none"/>
        </w:rPr>
        <w:t>6.3.3.2综合评分明细表</w:t>
      </w:r>
      <w:bookmarkEnd w:id="169"/>
      <w:r>
        <w:rPr>
          <w:rFonts w:hint="eastAsia" w:asciiTheme="minorEastAsia" w:hAnsiTheme="minorEastAsia" w:eastAsiaTheme="minorEastAsia" w:cstheme="minorEastAsia"/>
          <w:highlight w:val="none"/>
        </w:rPr>
        <w:t xml:space="preserve">   </w:t>
      </w:r>
    </w:p>
    <w:tbl>
      <w:tblPr>
        <w:tblStyle w:val="43"/>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581"/>
        <w:gridCol w:w="1064"/>
        <w:gridCol w:w="58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72" w:type="dxa"/>
            <w:vAlign w:val="center"/>
          </w:tcPr>
          <w:p>
            <w:pPr>
              <w:widowControl w:val="0"/>
              <w:adjustRightInd w:val="0"/>
              <w:snapToGrid w:val="0"/>
              <w:spacing w:line="360" w:lineRule="auto"/>
              <w:ind w:firstLine="0" w:firstLineChars="0"/>
              <w:jc w:val="center"/>
              <w:rPr>
                <w:b/>
                <w:bCs/>
                <w:kern w:val="2"/>
                <w:sz w:val="21"/>
                <w:szCs w:val="21"/>
              </w:rPr>
            </w:pPr>
            <w:r>
              <w:rPr>
                <w:rFonts w:hint="eastAsia"/>
                <w:b/>
                <w:bCs/>
                <w:kern w:val="2"/>
                <w:sz w:val="21"/>
                <w:szCs w:val="21"/>
              </w:rPr>
              <w:t>序号</w:t>
            </w:r>
          </w:p>
        </w:tc>
        <w:tc>
          <w:tcPr>
            <w:tcW w:w="1645" w:type="dxa"/>
            <w:gridSpan w:val="2"/>
            <w:vAlign w:val="center"/>
          </w:tcPr>
          <w:p>
            <w:pPr>
              <w:widowControl w:val="0"/>
              <w:adjustRightInd w:val="0"/>
              <w:snapToGrid w:val="0"/>
              <w:spacing w:line="360" w:lineRule="auto"/>
              <w:ind w:firstLine="0" w:firstLineChars="0"/>
              <w:jc w:val="both"/>
              <w:rPr>
                <w:b/>
                <w:bCs/>
                <w:kern w:val="2"/>
                <w:sz w:val="21"/>
                <w:szCs w:val="21"/>
              </w:rPr>
            </w:pPr>
            <w:r>
              <w:rPr>
                <w:rFonts w:hint="eastAsia"/>
                <w:b/>
                <w:bCs/>
                <w:kern w:val="2"/>
                <w:sz w:val="21"/>
                <w:szCs w:val="21"/>
              </w:rPr>
              <w:t>评分因素及权重</w:t>
            </w:r>
          </w:p>
        </w:tc>
        <w:tc>
          <w:tcPr>
            <w:tcW w:w="5810" w:type="dxa"/>
            <w:vAlign w:val="center"/>
          </w:tcPr>
          <w:p>
            <w:pPr>
              <w:widowControl w:val="0"/>
              <w:adjustRightInd w:val="0"/>
              <w:snapToGrid w:val="0"/>
              <w:spacing w:line="360" w:lineRule="auto"/>
              <w:ind w:firstLine="0" w:firstLineChars="0"/>
              <w:jc w:val="center"/>
              <w:rPr>
                <w:b/>
                <w:bCs/>
                <w:kern w:val="2"/>
                <w:sz w:val="21"/>
                <w:szCs w:val="21"/>
              </w:rPr>
            </w:pPr>
            <w:r>
              <w:rPr>
                <w:rFonts w:hint="eastAsia"/>
                <w:b/>
                <w:bCs/>
                <w:kern w:val="2"/>
                <w:sz w:val="21"/>
                <w:szCs w:val="21"/>
              </w:rPr>
              <w:t>评分标准</w:t>
            </w:r>
          </w:p>
        </w:tc>
        <w:tc>
          <w:tcPr>
            <w:tcW w:w="709" w:type="dxa"/>
            <w:vAlign w:val="center"/>
          </w:tcPr>
          <w:p>
            <w:pPr>
              <w:widowControl w:val="0"/>
              <w:adjustRightInd w:val="0"/>
              <w:snapToGrid w:val="0"/>
              <w:spacing w:line="360" w:lineRule="auto"/>
              <w:ind w:firstLine="0" w:firstLineChars="0"/>
              <w:jc w:val="center"/>
              <w:rPr>
                <w:b/>
                <w:bCs/>
                <w:kern w:val="2"/>
                <w:sz w:val="21"/>
                <w:szCs w:val="21"/>
              </w:rPr>
            </w:pPr>
            <w:r>
              <w:rPr>
                <w:rFonts w:hint="eastAsia"/>
                <w:b/>
                <w:bCs/>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jc w:val="center"/>
        </w:trPr>
        <w:tc>
          <w:tcPr>
            <w:tcW w:w="472" w:type="dxa"/>
            <w:shd w:val="clear" w:color="auto" w:fill="auto"/>
            <w:vAlign w:val="center"/>
          </w:tcPr>
          <w:p>
            <w:pPr>
              <w:widowControl w:val="0"/>
              <w:adjustRightInd w:val="0"/>
              <w:snapToGrid w:val="0"/>
              <w:spacing w:line="360" w:lineRule="auto"/>
              <w:ind w:firstLine="0" w:firstLineChars="0"/>
              <w:jc w:val="center"/>
              <w:rPr>
                <w:kern w:val="2"/>
                <w:sz w:val="21"/>
                <w:szCs w:val="21"/>
              </w:rPr>
            </w:pPr>
            <w:r>
              <w:rPr>
                <w:rFonts w:hint="eastAsia"/>
                <w:kern w:val="2"/>
                <w:sz w:val="21"/>
                <w:szCs w:val="21"/>
              </w:rPr>
              <w:t>1</w:t>
            </w:r>
          </w:p>
        </w:tc>
        <w:tc>
          <w:tcPr>
            <w:tcW w:w="1645" w:type="dxa"/>
            <w:gridSpan w:val="2"/>
            <w:shd w:val="clear" w:color="auto" w:fill="auto"/>
            <w:vAlign w:val="center"/>
          </w:tcPr>
          <w:p>
            <w:pPr>
              <w:widowControl w:val="0"/>
              <w:adjustRightInd w:val="0"/>
              <w:snapToGrid w:val="0"/>
              <w:spacing w:line="360" w:lineRule="auto"/>
              <w:ind w:firstLine="0" w:firstLineChars="0"/>
              <w:jc w:val="center"/>
              <w:rPr>
                <w:color w:val="auto"/>
                <w:kern w:val="2"/>
                <w:sz w:val="21"/>
                <w:szCs w:val="21"/>
              </w:rPr>
            </w:pPr>
            <w:r>
              <w:rPr>
                <w:rFonts w:hint="eastAsia"/>
                <w:color w:val="auto"/>
                <w:kern w:val="2"/>
                <w:sz w:val="21"/>
                <w:szCs w:val="21"/>
              </w:rPr>
              <w:t>报价评审</w:t>
            </w:r>
          </w:p>
          <w:p>
            <w:pPr>
              <w:widowControl w:val="0"/>
              <w:adjustRightInd w:val="0"/>
              <w:snapToGrid w:val="0"/>
              <w:spacing w:line="360" w:lineRule="auto"/>
              <w:ind w:firstLine="0" w:firstLineChars="0"/>
              <w:jc w:val="center"/>
              <w:rPr>
                <w:color w:val="auto"/>
                <w:kern w:val="2"/>
                <w:sz w:val="21"/>
                <w:szCs w:val="21"/>
              </w:rPr>
            </w:pPr>
            <w:r>
              <w:rPr>
                <w:rFonts w:hint="eastAsia"/>
                <w:color w:val="auto"/>
                <w:kern w:val="2"/>
                <w:sz w:val="21"/>
                <w:szCs w:val="21"/>
              </w:rPr>
              <w:t>20%</w:t>
            </w:r>
          </w:p>
        </w:tc>
        <w:tc>
          <w:tcPr>
            <w:tcW w:w="5810" w:type="dxa"/>
            <w:shd w:val="clear" w:color="auto" w:fill="FFFFFF"/>
            <w:vAlign w:val="center"/>
          </w:tcPr>
          <w:p>
            <w:pPr>
              <w:adjustRightInd w:val="0"/>
              <w:snapToGrid w:val="0"/>
              <w:spacing w:line="340" w:lineRule="exact"/>
              <w:ind w:left="0" w:leftChars="0" w:firstLine="210" w:firstLineChars="100"/>
              <w:rPr>
                <w:color w:val="auto"/>
                <w:sz w:val="21"/>
                <w:szCs w:val="21"/>
              </w:rPr>
            </w:pPr>
            <w:r>
              <w:rPr>
                <w:rFonts w:hint="eastAsia"/>
                <w:color w:val="auto"/>
                <w:sz w:val="21"/>
                <w:szCs w:val="21"/>
              </w:rPr>
              <w:t>满足磋商文件要求且最后报价最低的供应商的价格为磋商基价，其价格分为满分。其他供应商的价格分统一按照下列公式计算：</w:t>
            </w:r>
          </w:p>
          <w:p>
            <w:pPr>
              <w:adjustRightInd w:val="0"/>
              <w:snapToGrid w:val="0"/>
              <w:spacing w:line="340" w:lineRule="exact"/>
              <w:ind w:firstLine="0" w:firstLineChars="0"/>
              <w:jc w:val="center"/>
              <w:rPr>
                <w:color w:val="auto"/>
                <w:sz w:val="21"/>
                <w:szCs w:val="21"/>
              </w:rPr>
            </w:pPr>
            <w:r>
              <w:rPr>
                <w:rFonts w:hint="eastAsia"/>
                <w:color w:val="auto"/>
                <w:sz w:val="21"/>
                <w:szCs w:val="21"/>
              </w:rPr>
              <w:t>磋商报价得分=（磋商基准价/最后磋商报价）×20%×100</w:t>
            </w:r>
          </w:p>
        </w:tc>
        <w:tc>
          <w:tcPr>
            <w:tcW w:w="709" w:type="dxa"/>
            <w:vAlign w:val="center"/>
          </w:tcPr>
          <w:p>
            <w:pPr>
              <w:widowControl w:val="0"/>
              <w:adjustRightInd w:val="0"/>
              <w:snapToGrid w:val="0"/>
              <w:spacing w:line="360" w:lineRule="auto"/>
              <w:ind w:firstLine="0" w:firstLineChars="0"/>
              <w:jc w:val="center"/>
              <w:rPr>
                <w:color w:val="auto"/>
                <w:kern w:val="2"/>
                <w:sz w:val="21"/>
                <w:szCs w:val="21"/>
              </w:rPr>
            </w:pPr>
            <w:r>
              <w:rPr>
                <w:rFonts w:hint="eastAsia"/>
                <w:color w:val="auto"/>
                <w:kern w:val="2"/>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72" w:type="dxa"/>
            <w:vMerge w:val="restart"/>
            <w:shd w:val="clear" w:color="auto" w:fill="auto"/>
            <w:vAlign w:val="center"/>
          </w:tcPr>
          <w:p>
            <w:pPr>
              <w:widowControl w:val="0"/>
              <w:adjustRightInd w:val="0"/>
              <w:snapToGrid w:val="0"/>
              <w:spacing w:line="360" w:lineRule="auto"/>
              <w:ind w:firstLine="0" w:firstLineChars="0"/>
              <w:jc w:val="center"/>
              <w:rPr>
                <w:color w:val="auto"/>
                <w:kern w:val="2"/>
                <w:sz w:val="21"/>
                <w:szCs w:val="21"/>
              </w:rPr>
            </w:pPr>
            <w:r>
              <w:rPr>
                <w:rFonts w:hint="eastAsia"/>
                <w:color w:val="auto"/>
                <w:kern w:val="2"/>
                <w:sz w:val="21"/>
                <w:szCs w:val="21"/>
              </w:rPr>
              <w:t>2</w:t>
            </w:r>
          </w:p>
        </w:tc>
        <w:tc>
          <w:tcPr>
            <w:tcW w:w="581" w:type="dxa"/>
            <w:vMerge w:val="restart"/>
            <w:shd w:val="clear" w:color="auto" w:fill="auto"/>
            <w:vAlign w:val="center"/>
          </w:tcPr>
          <w:p>
            <w:pPr>
              <w:widowControl w:val="0"/>
              <w:adjustRightInd w:val="0"/>
              <w:snapToGrid w:val="0"/>
              <w:spacing w:line="360" w:lineRule="auto"/>
              <w:ind w:firstLine="0" w:firstLineChars="0"/>
              <w:jc w:val="center"/>
              <w:rPr>
                <w:color w:val="auto"/>
                <w:kern w:val="2"/>
                <w:sz w:val="21"/>
                <w:szCs w:val="21"/>
              </w:rPr>
            </w:pPr>
            <w:r>
              <w:rPr>
                <w:rFonts w:hint="eastAsia"/>
                <w:color w:val="auto"/>
                <w:kern w:val="2"/>
                <w:sz w:val="21"/>
                <w:szCs w:val="21"/>
              </w:rPr>
              <w:t>服务方案</w:t>
            </w:r>
            <w:r>
              <w:rPr>
                <w:rFonts w:hint="eastAsia"/>
                <w:color w:val="auto"/>
                <w:kern w:val="2"/>
                <w:sz w:val="21"/>
                <w:szCs w:val="21"/>
                <w:lang w:val="en-US" w:eastAsia="zh-CN"/>
              </w:rPr>
              <w:t>58</w:t>
            </w:r>
            <w:r>
              <w:rPr>
                <w:rFonts w:hint="eastAsia"/>
                <w:color w:val="auto"/>
                <w:kern w:val="2"/>
                <w:sz w:val="21"/>
                <w:szCs w:val="21"/>
              </w:rPr>
              <w:t>%</w:t>
            </w:r>
          </w:p>
        </w:tc>
        <w:tc>
          <w:tcPr>
            <w:tcW w:w="1064" w:type="dxa"/>
            <w:shd w:val="clear" w:color="auto" w:fill="auto"/>
            <w:vAlign w:val="center"/>
          </w:tcPr>
          <w:p>
            <w:pPr>
              <w:adjustRightInd w:val="0"/>
              <w:snapToGrid w:val="0"/>
              <w:spacing w:line="340" w:lineRule="exact"/>
              <w:ind w:firstLine="0" w:firstLineChars="0"/>
              <w:jc w:val="center"/>
              <w:rPr>
                <w:color w:val="auto"/>
                <w:sz w:val="21"/>
                <w:szCs w:val="21"/>
              </w:rPr>
            </w:pPr>
            <w:r>
              <w:rPr>
                <w:rFonts w:hint="eastAsia" w:asciiTheme="minorEastAsia" w:hAnsiTheme="minorEastAsia" w:eastAsiaTheme="minorEastAsia" w:cstheme="minorEastAsia"/>
                <w:color w:val="auto"/>
                <w:sz w:val="21"/>
                <w:szCs w:val="21"/>
                <w:highlight w:val="none"/>
              </w:rPr>
              <w:t>对项目的认知及重难点分析</w:t>
            </w:r>
          </w:p>
          <w:p>
            <w:pPr>
              <w:adjustRightInd w:val="0"/>
              <w:snapToGrid w:val="0"/>
              <w:spacing w:line="340" w:lineRule="exact"/>
              <w:ind w:firstLine="0" w:firstLineChars="0"/>
              <w:jc w:val="center"/>
              <w:rPr>
                <w:color w:val="auto"/>
                <w:sz w:val="21"/>
                <w:szCs w:val="21"/>
              </w:rPr>
            </w:pPr>
            <w:r>
              <w:rPr>
                <w:rFonts w:hint="eastAsia"/>
                <w:color w:val="auto"/>
                <w:sz w:val="21"/>
                <w:szCs w:val="21"/>
                <w:lang w:val="en-US" w:eastAsia="zh-CN"/>
              </w:rPr>
              <w:t>4</w:t>
            </w:r>
            <w:r>
              <w:rPr>
                <w:rFonts w:hint="eastAsia"/>
                <w:color w:val="auto"/>
                <w:sz w:val="21"/>
                <w:szCs w:val="21"/>
              </w:rPr>
              <w:t>%</w:t>
            </w:r>
          </w:p>
        </w:tc>
        <w:tc>
          <w:tcPr>
            <w:tcW w:w="5810" w:type="dxa"/>
            <w:shd w:val="clear" w:color="auto" w:fill="FFFFFF"/>
            <w:vAlign w:val="center"/>
          </w:tcPr>
          <w:p>
            <w:pPr>
              <w:adjustRightInd w:val="0"/>
              <w:snapToGrid w:val="0"/>
              <w:spacing w:line="340" w:lineRule="exact"/>
              <w:ind w:firstLine="210" w:firstLineChars="100"/>
              <w:jc w:val="both"/>
              <w:rPr>
                <w:color w:val="auto"/>
                <w:sz w:val="21"/>
                <w:szCs w:val="21"/>
              </w:rPr>
            </w:pPr>
            <w:r>
              <w:rPr>
                <w:rFonts w:hint="eastAsia" w:asciiTheme="minorEastAsia" w:hAnsiTheme="minorEastAsia" w:eastAsiaTheme="minorEastAsia" w:cstheme="minorEastAsia"/>
                <w:color w:val="auto"/>
                <w:sz w:val="21"/>
                <w:szCs w:val="21"/>
                <w:highlight w:val="none"/>
                <w:lang w:val="en-US" w:eastAsia="zh-CN"/>
              </w:rPr>
              <w:t>根据供应商</w:t>
            </w:r>
            <w:r>
              <w:rPr>
                <w:rFonts w:hint="eastAsia" w:asciiTheme="minorEastAsia" w:hAnsiTheme="minorEastAsia" w:eastAsiaTheme="minorEastAsia" w:cstheme="minorEastAsia"/>
                <w:color w:val="auto"/>
                <w:sz w:val="21"/>
                <w:szCs w:val="21"/>
                <w:highlight w:val="none"/>
              </w:rPr>
              <w:t>提供的对项目的认知及现状分析进行评审，内容至少包含：1.项目的理解和认识；2.项目重难点分析。对项目的认知及重难点分析完全涵盖以上内容且阐述清晰具体的得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分，每缺一项扣</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分,每有一处不具有针对性、不完善的扣1分，直至扣完为止。</w:t>
            </w:r>
          </w:p>
        </w:tc>
        <w:tc>
          <w:tcPr>
            <w:tcW w:w="709" w:type="dxa"/>
            <w:vAlign w:val="center"/>
          </w:tcPr>
          <w:p>
            <w:pPr>
              <w:adjustRightInd w:val="0"/>
              <w:snapToGrid w:val="0"/>
              <w:spacing w:line="360" w:lineRule="auto"/>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72" w:type="dxa"/>
            <w:vMerge w:val="continue"/>
            <w:shd w:val="clear" w:color="auto" w:fill="auto"/>
            <w:vAlign w:val="center"/>
          </w:tcPr>
          <w:p>
            <w:pPr>
              <w:widowControl w:val="0"/>
              <w:adjustRightInd w:val="0"/>
              <w:snapToGrid w:val="0"/>
              <w:spacing w:line="360" w:lineRule="auto"/>
              <w:ind w:firstLine="0" w:firstLineChars="0"/>
              <w:jc w:val="center"/>
              <w:rPr>
                <w:color w:val="auto"/>
                <w:kern w:val="2"/>
                <w:sz w:val="21"/>
                <w:szCs w:val="21"/>
              </w:rPr>
            </w:pPr>
          </w:p>
        </w:tc>
        <w:tc>
          <w:tcPr>
            <w:tcW w:w="581" w:type="dxa"/>
            <w:vMerge w:val="continue"/>
            <w:shd w:val="clear" w:color="auto" w:fill="auto"/>
            <w:vAlign w:val="center"/>
          </w:tcPr>
          <w:p>
            <w:pPr>
              <w:widowControl w:val="0"/>
              <w:adjustRightInd w:val="0"/>
              <w:snapToGrid w:val="0"/>
              <w:spacing w:line="360" w:lineRule="auto"/>
              <w:ind w:firstLine="0" w:firstLineChars="0"/>
              <w:jc w:val="center"/>
              <w:rPr>
                <w:color w:val="auto"/>
                <w:kern w:val="2"/>
                <w:sz w:val="21"/>
                <w:szCs w:val="21"/>
                <w:lang w:val="zh-CN"/>
              </w:rPr>
            </w:pPr>
          </w:p>
        </w:tc>
        <w:tc>
          <w:tcPr>
            <w:tcW w:w="1064" w:type="dxa"/>
            <w:shd w:val="clear" w:color="auto" w:fill="auto"/>
            <w:vAlign w:val="center"/>
          </w:tcPr>
          <w:p>
            <w:pPr>
              <w:adjustRightInd w:val="0"/>
              <w:snapToGrid w:val="0"/>
              <w:spacing w:line="340" w:lineRule="exact"/>
              <w:ind w:firstLine="0" w:firstLineChars="0"/>
              <w:jc w:val="center"/>
              <w:rPr>
                <w:color w:val="auto"/>
                <w:sz w:val="21"/>
                <w:szCs w:val="21"/>
              </w:rPr>
            </w:pPr>
            <w:r>
              <w:rPr>
                <w:rFonts w:hint="eastAsia" w:asciiTheme="minorEastAsia" w:hAnsiTheme="minorEastAsia" w:eastAsiaTheme="minorEastAsia" w:cstheme="minorEastAsia"/>
                <w:color w:val="auto"/>
                <w:sz w:val="21"/>
                <w:szCs w:val="21"/>
                <w:highlight w:val="none"/>
              </w:rPr>
              <w:t>实施方案    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p>
        </w:tc>
        <w:tc>
          <w:tcPr>
            <w:tcW w:w="5810" w:type="dxa"/>
            <w:shd w:val="clear" w:color="auto" w:fill="FFFFFF"/>
            <w:vAlign w:val="center"/>
          </w:tcPr>
          <w:p>
            <w:pPr>
              <w:adjustRightInd w:val="0"/>
              <w:snapToGrid w:val="0"/>
              <w:spacing w:line="340" w:lineRule="exact"/>
              <w:ind w:firstLine="210" w:firstLineChars="100"/>
              <w:rPr>
                <w:color w:val="auto"/>
                <w:sz w:val="21"/>
                <w:szCs w:val="21"/>
              </w:rPr>
            </w:pPr>
            <w:r>
              <w:rPr>
                <w:rFonts w:hint="eastAsia"/>
                <w:color w:val="auto"/>
                <w:sz w:val="21"/>
                <w:szCs w:val="21"/>
              </w:rPr>
              <w:t>根据供应商提出的实施方案进行评审，内容至少包含： 1.</w:t>
            </w:r>
            <w:r>
              <w:rPr>
                <w:rFonts w:hint="eastAsia" w:asciiTheme="minorEastAsia" w:hAnsiTheme="minorEastAsia" w:eastAsiaTheme="minorEastAsia" w:cstheme="minorEastAsia"/>
                <w:color w:val="auto"/>
                <w:kern w:val="2"/>
                <w:sz w:val="21"/>
                <w:szCs w:val="21"/>
                <w:highlight w:val="none"/>
              </w:rPr>
              <w:t>设计工作内容</w:t>
            </w:r>
            <w:r>
              <w:rPr>
                <w:rFonts w:hint="eastAsia"/>
                <w:color w:val="auto"/>
                <w:sz w:val="21"/>
                <w:szCs w:val="21"/>
              </w:rPr>
              <w:t>；2.</w:t>
            </w:r>
            <w:r>
              <w:rPr>
                <w:rFonts w:hint="eastAsia" w:asciiTheme="minorEastAsia" w:hAnsiTheme="minorEastAsia" w:eastAsiaTheme="minorEastAsia" w:cstheme="minorEastAsia"/>
                <w:bCs/>
                <w:color w:val="auto"/>
                <w:sz w:val="21"/>
                <w:szCs w:val="21"/>
                <w:highlight w:val="none"/>
              </w:rPr>
              <w:t>设计</w:t>
            </w:r>
            <w:r>
              <w:rPr>
                <w:rFonts w:hint="eastAsia" w:asciiTheme="minorEastAsia" w:hAnsiTheme="minorEastAsia" w:eastAsiaTheme="minorEastAsia" w:cstheme="minorEastAsia"/>
                <w:bCs/>
                <w:color w:val="auto"/>
                <w:sz w:val="21"/>
                <w:szCs w:val="21"/>
                <w:highlight w:val="none"/>
                <w:lang w:eastAsia="zh-CN"/>
              </w:rPr>
              <w:t>工作方案</w:t>
            </w:r>
            <w:r>
              <w:rPr>
                <w:rFonts w:hint="eastAsia"/>
                <w:color w:val="auto"/>
                <w:sz w:val="21"/>
                <w:szCs w:val="21"/>
              </w:rPr>
              <w:t>；3、</w:t>
            </w:r>
            <w:r>
              <w:rPr>
                <w:rFonts w:hint="eastAsia" w:asciiTheme="minorEastAsia" w:hAnsiTheme="minorEastAsia" w:eastAsiaTheme="minorEastAsia" w:cstheme="minorEastAsia"/>
                <w:color w:val="auto"/>
                <w:kern w:val="2"/>
                <w:sz w:val="21"/>
                <w:szCs w:val="21"/>
                <w:highlight w:val="none"/>
              </w:rPr>
              <w:t>参照的技术依据和规范</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rPr>
              <w:t>.</w:t>
            </w:r>
            <w:r>
              <w:rPr>
                <w:rFonts w:hint="eastAsia"/>
                <w:color w:val="auto"/>
                <w:sz w:val="21"/>
                <w:szCs w:val="21"/>
                <w:highlight w:val="none"/>
              </w:rPr>
              <w:t>项目组织实施条件</w:t>
            </w:r>
            <w:r>
              <w:rPr>
                <w:rFonts w:hint="eastAsia"/>
                <w:color w:val="auto"/>
                <w:sz w:val="21"/>
                <w:szCs w:val="21"/>
                <w:highlight w:val="none"/>
                <w:lang w:eastAsia="zh-CN"/>
              </w:rPr>
              <w:t>。</w:t>
            </w:r>
            <w:r>
              <w:rPr>
                <w:rFonts w:hint="eastAsia"/>
                <w:color w:val="auto"/>
                <w:sz w:val="21"/>
                <w:szCs w:val="21"/>
              </w:rPr>
              <w:t>实施方案完全涵盖以上内容且定位明确、符合发展需求、具有创新性、全面具体的得2</w:t>
            </w:r>
            <w:r>
              <w:rPr>
                <w:rFonts w:hint="eastAsia"/>
                <w:color w:val="auto"/>
                <w:sz w:val="21"/>
                <w:szCs w:val="21"/>
                <w:lang w:val="en-US" w:eastAsia="zh-CN"/>
              </w:rPr>
              <w:t>4</w:t>
            </w:r>
            <w:r>
              <w:rPr>
                <w:rFonts w:hint="eastAsia"/>
                <w:color w:val="auto"/>
                <w:sz w:val="21"/>
                <w:szCs w:val="21"/>
              </w:rPr>
              <w:t>分，每缺一项扣</w:t>
            </w:r>
            <w:r>
              <w:rPr>
                <w:rFonts w:hint="eastAsia"/>
                <w:color w:val="auto"/>
                <w:sz w:val="21"/>
                <w:szCs w:val="21"/>
                <w:lang w:val="en-US" w:eastAsia="zh-CN"/>
              </w:rPr>
              <w:t>6</w:t>
            </w:r>
            <w:r>
              <w:rPr>
                <w:rFonts w:hint="eastAsia" w:asciiTheme="minorEastAsia" w:hAnsiTheme="minorEastAsia" w:eastAsiaTheme="minorEastAsia" w:cstheme="minorEastAsia"/>
                <w:bCs/>
                <w:color w:val="auto"/>
                <w:sz w:val="21"/>
                <w:szCs w:val="21"/>
                <w:highlight w:val="none"/>
                <w:lang w:eastAsia="zh-CN"/>
              </w:rPr>
              <w:t>分，每有一处不具有针对性、不完善的扣</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分，直至扣完为止。</w:t>
            </w:r>
          </w:p>
        </w:tc>
        <w:tc>
          <w:tcPr>
            <w:tcW w:w="709" w:type="dxa"/>
            <w:vAlign w:val="center"/>
          </w:tcPr>
          <w:p>
            <w:pPr>
              <w:adjustRightInd w:val="0"/>
              <w:snapToGrid w:val="0"/>
              <w:spacing w:line="360" w:lineRule="auto"/>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472" w:type="dxa"/>
            <w:vMerge w:val="continue"/>
            <w:shd w:val="clear" w:color="auto" w:fill="auto"/>
            <w:vAlign w:val="center"/>
          </w:tcPr>
          <w:p>
            <w:pPr>
              <w:widowControl w:val="0"/>
              <w:adjustRightInd w:val="0"/>
              <w:snapToGrid w:val="0"/>
              <w:spacing w:line="360" w:lineRule="auto"/>
              <w:ind w:firstLine="0" w:firstLineChars="0"/>
              <w:jc w:val="center"/>
              <w:rPr>
                <w:color w:val="auto"/>
                <w:kern w:val="2"/>
                <w:sz w:val="21"/>
                <w:szCs w:val="21"/>
              </w:rPr>
            </w:pPr>
          </w:p>
        </w:tc>
        <w:tc>
          <w:tcPr>
            <w:tcW w:w="581" w:type="dxa"/>
            <w:vMerge w:val="continue"/>
            <w:shd w:val="clear" w:color="auto" w:fill="auto"/>
            <w:vAlign w:val="center"/>
          </w:tcPr>
          <w:p>
            <w:pPr>
              <w:widowControl w:val="0"/>
              <w:adjustRightInd w:val="0"/>
              <w:snapToGrid w:val="0"/>
              <w:spacing w:line="360" w:lineRule="auto"/>
              <w:ind w:firstLine="0" w:firstLineChars="0"/>
              <w:jc w:val="center"/>
              <w:rPr>
                <w:color w:val="auto"/>
                <w:kern w:val="2"/>
                <w:sz w:val="21"/>
                <w:szCs w:val="21"/>
                <w:lang w:val="zh-CN"/>
              </w:rPr>
            </w:pPr>
          </w:p>
        </w:tc>
        <w:tc>
          <w:tcPr>
            <w:tcW w:w="1064" w:type="dxa"/>
            <w:shd w:val="clear" w:color="auto" w:fill="auto"/>
            <w:vAlign w:val="center"/>
          </w:tcPr>
          <w:p>
            <w:pPr>
              <w:adjustRightInd w:val="0"/>
              <w:snapToGrid w:val="0"/>
              <w:spacing w:line="340" w:lineRule="exact"/>
              <w:ind w:firstLine="0" w:firstLineChars="0"/>
              <w:jc w:val="center"/>
              <w:rPr>
                <w:rFonts w:hint="default" w:eastAsia="宋体"/>
                <w:lang w:val="en-US" w:eastAsia="zh-CN"/>
              </w:rPr>
            </w:pPr>
            <w:r>
              <w:rPr>
                <w:rFonts w:hint="eastAsia" w:asciiTheme="minorEastAsia" w:hAnsiTheme="minorEastAsia" w:eastAsiaTheme="minorEastAsia" w:cstheme="minorEastAsia"/>
                <w:color w:val="auto"/>
                <w:sz w:val="21"/>
                <w:szCs w:val="21"/>
                <w:highlight w:val="none"/>
              </w:rPr>
              <w:t>方</w:t>
            </w:r>
            <w:r>
              <w:rPr>
                <w:rFonts w:hint="eastAsia" w:asciiTheme="minorEastAsia" w:hAnsiTheme="minorEastAsia" w:eastAsiaTheme="minorEastAsia" w:cstheme="minorEastAsia"/>
                <w:color w:val="auto"/>
                <w:sz w:val="21"/>
                <w:szCs w:val="21"/>
                <w:highlight w:val="none"/>
                <w:lang w:val="en-US" w:eastAsia="zh-CN"/>
              </w:rPr>
              <w:t>案</w:t>
            </w:r>
            <w:r>
              <w:rPr>
                <w:rFonts w:hint="eastAsia" w:asciiTheme="minorEastAsia" w:hAnsiTheme="minorEastAsia" w:eastAsiaTheme="minorEastAsia" w:cstheme="minorEastAsia"/>
                <w:color w:val="auto"/>
                <w:sz w:val="21"/>
                <w:szCs w:val="21"/>
                <w:highlight w:val="none"/>
              </w:rPr>
              <w:t>设计</w:t>
            </w:r>
            <w:r>
              <w:rPr>
                <w:rFonts w:hint="eastAsia" w:asciiTheme="minorEastAsia" w:hAnsiTheme="minorEastAsia" w:eastAsiaTheme="minorEastAsia" w:cstheme="minorEastAsia"/>
                <w:color w:val="auto"/>
                <w:sz w:val="21"/>
                <w:szCs w:val="21"/>
                <w:highlight w:val="none"/>
                <w:lang w:val="en-US" w:eastAsia="zh-CN"/>
              </w:rPr>
              <w:t>9%</w:t>
            </w:r>
          </w:p>
        </w:tc>
        <w:tc>
          <w:tcPr>
            <w:tcW w:w="5810" w:type="dxa"/>
            <w:shd w:val="clear" w:color="auto" w:fill="FFFFFF"/>
            <w:vAlign w:val="center"/>
          </w:tcPr>
          <w:p>
            <w:pPr>
              <w:adjustRightInd w:val="0"/>
              <w:snapToGrid w:val="0"/>
              <w:spacing w:line="340" w:lineRule="exact"/>
              <w:ind w:firstLine="210" w:firstLineChars="100"/>
              <w:rPr>
                <w:rFonts w:hint="eastAsia"/>
                <w:color w:val="auto"/>
                <w:sz w:val="21"/>
                <w:szCs w:val="21"/>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lang w:val="en-US" w:eastAsia="zh-CN"/>
              </w:rPr>
              <w:t>方案设计</w:t>
            </w:r>
            <w:r>
              <w:rPr>
                <w:rFonts w:hint="eastAsia" w:asciiTheme="minorEastAsia" w:hAnsiTheme="minorEastAsia" w:eastAsiaTheme="minorEastAsia" w:cstheme="minorEastAsia"/>
                <w:color w:val="auto"/>
                <w:sz w:val="21"/>
                <w:szCs w:val="21"/>
                <w:highlight w:val="none"/>
              </w:rPr>
              <w:t>进行评审，内容至少包含：1.设计说明；2.平面图、轴测图；3.效果图</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方案设计完全涵盖以上内容且阐述清晰具体的得</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分，每缺一项扣</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分,每有一处不具有针对性、不完善的</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分，直至扣完为止。</w:t>
            </w:r>
          </w:p>
        </w:tc>
        <w:tc>
          <w:tcPr>
            <w:tcW w:w="709" w:type="dxa"/>
            <w:vAlign w:val="center"/>
          </w:tcPr>
          <w:p>
            <w:pPr>
              <w:adjustRightInd w:val="0"/>
              <w:snapToGrid w:val="0"/>
              <w:spacing w:line="36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72" w:type="dxa"/>
            <w:vMerge w:val="continue"/>
            <w:shd w:val="clear" w:color="auto" w:fill="auto"/>
            <w:vAlign w:val="center"/>
          </w:tcPr>
          <w:p>
            <w:pPr>
              <w:widowControl w:val="0"/>
              <w:adjustRightInd w:val="0"/>
              <w:snapToGrid w:val="0"/>
              <w:spacing w:line="360" w:lineRule="auto"/>
              <w:ind w:firstLine="420"/>
              <w:jc w:val="center"/>
              <w:rPr>
                <w:kern w:val="2"/>
                <w:sz w:val="21"/>
                <w:szCs w:val="21"/>
              </w:rPr>
            </w:pPr>
          </w:p>
        </w:tc>
        <w:tc>
          <w:tcPr>
            <w:tcW w:w="581" w:type="dxa"/>
            <w:vMerge w:val="continue"/>
            <w:shd w:val="clear" w:color="auto" w:fill="auto"/>
            <w:vAlign w:val="center"/>
          </w:tcPr>
          <w:p>
            <w:pPr>
              <w:widowControl w:val="0"/>
              <w:adjustRightInd w:val="0"/>
              <w:snapToGrid w:val="0"/>
              <w:spacing w:line="360" w:lineRule="auto"/>
              <w:ind w:firstLine="420"/>
              <w:jc w:val="center"/>
              <w:rPr>
                <w:kern w:val="2"/>
                <w:sz w:val="21"/>
                <w:szCs w:val="21"/>
              </w:rPr>
            </w:pPr>
          </w:p>
        </w:tc>
        <w:tc>
          <w:tcPr>
            <w:tcW w:w="1064" w:type="dxa"/>
            <w:shd w:val="clear" w:color="auto" w:fill="auto"/>
            <w:vAlign w:val="center"/>
          </w:tcPr>
          <w:p>
            <w:pPr>
              <w:adjustRightInd w:val="0"/>
              <w:snapToGrid w:val="0"/>
              <w:spacing w:line="340" w:lineRule="exact"/>
              <w:ind w:firstLine="0" w:firstLineChars="0"/>
              <w:jc w:val="center"/>
              <w:rPr>
                <w:sz w:val="21"/>
                <w:szCs w:val="21"/>
              </w:rPr>
            </w:pPr>
            <w:r>
              <w:rPr>
                <w:rFonts w:hint="eastAsia"/>
                <w:sz w:val="21"/>
                <w:szCs w:val="21"/>
              </w:rPr>
              <w:t>质量保证措施</w:t>
            </w:r>
            <w:r>
              <w:rPr>
                <w:rFonts w:hint="eastAsia"/>
                <w:sz w:val="21"/>
                <w:szCs w:val="21"/>
                <w:lang w:val="en-US" w:eastAsia="zh-CN"/>
              </w:rPr>
              <w:t>6</w:t>
            </w:r>
            <w:r>
              <w:rPr>
                <w:rFonts w:hint="eastAsia"/>
                <w:sz w:val="21"/>
                <w:szCs w:val="21"/>
              </w:rPr>
              <w:t>%</w:t>
            </w:r>
          </w:p>
        </w:tc>
        <w:tc>
          <w:tcPr>
            <w:tcW w:w="5810" w:type="dxa"/>
            <w:shd w:val="clear" w:color="auto" w:fill="FFFFFF"/>
            <w:vAlign w:val="center"/>
          </w:tcPr>
          <w:p>
            <w:pPr>
              <w:adjustRightInd w:val="0"/>
              <w:snapToGrid w:val="0"/>
              <w:spacing w:line="340" w:lineRule="exact"/>
              <w:ind w:firstLine="210" w:firstLineChars="100"/>
              <w:rPr>
                <w:sz w:val="21"/>
                <w:szCs w:val="21"/>
              </w:rPr>
            </w:pPr>
            <w:r>
              <w:rPr>
                <w:rFonts w:hint="eastAsia"/>
                <w:sz w:val="21"/>
                <w:szCs w:val="21"/>
              </w:rPr>
              <w:t>根据供应商提供的质量保证措施进行评审，内容至少包含：</w:t>
            </w:r>
            <w:r>
              <w:rPr>
                <w:rFonts w:hint="eastAsia" w:asciiTheme="minorEastAsia" w:hAnsiTheme="minorEastAsia" w:eastAsiaTheme="minorEastAsia" w:cstheme="minorEastAsia"/>
                <w:color w:val="auto"/>
                <w:sz w:val="21"/>
                <w:szCs w:val="21"/>
                <w:highlight w:val="none"/>
              </w:rPr>
              <w:t>1.质量管理体系；2.质量控制目标</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制度；</w:t>
            </w:r>
            <w:r>
              <w:rPr>
                <w:rFonts w:hint="eastAsia" w:asciiTheme="minorEastAsia" w:hAnsiTheme="minorEastAsia" w:eastAsiaTheme="minorEastAsia" w:cstheme="minorEastAsia"/>
                <w:color w:val="auto"/>
                <w:sz w:val="21"/>
                <w:szCs w:val="21"/>
                <w:highlight w:val="none"/>
              </w:rPr>
              <w:t>3.质量管理</w:t>
            </w:r>
            <w:r>
              <w:rPr>
                <w:rFonts w:hint="eastAsia" w:asciiTheme="minorEastAsia" w:hAnsiTheme="minorEastAsia" w:eastAsiaTheme="minorEastAsia" w:cstheme="minorEastAsia"/>
                <w:color w:val="auto"/>
                <w:sz w:val="21"/>
                <w:szCs w:val="21"/>
                <w:highlight w:val="none"/>
                <w:lang w:val="en-US" w:eastAsia="zh-CN"/>
              </w:rPr>
              <w:t>措施</w:t>
            </w:r>
            <w:r>
              <w:rPr>
                <w:rFonts w:hint="eastAsia"/>
                <w:color w:val="000000"/>
                <w:sz w:val="21"/>
                <w:szCs w:val="21"/>
              </w:rPr>
              <w:t>。</w:t>
            </w:r>
            <w:r>
              <w:rPr>
                <w:rFonts w:hint="eastAsia"/>
                <w:color w:val="auto"/>
                <w:sz w:val="21"/>
                <w:szCs w:val="21"/>
                <w:highlight w:val="none"/>
              </w:rPr>
              <w:t>质量保证措施完全涵盖以上内容且全面具体可行的得</w:t>
            </w:r>
            <w:r>
              <w:rPr>
                <w:rFonts w:hint="eastAsia"/>
                <w:sz w:val="21"/>
                <w:szCs w:val="21"/>
                <w:lang w:val="en-US" w:eastAsia="zh-CN"/>
              </w:rPr>
              <w:t>6</w:t>
            </w:r>
            <w:r>
              <w:rPr>
                <w:rFonts w:hint="eastAsia"/>
                <w:sz w:val="21"/>
                <w:szCs w:val="21"/>
              </w:rPr>
              <w:t>分，每缺一项扣</w:t>
            </w:r>
            <w:r>
              <w:rPr>
                <w:rFonts w:hint="eastAsia"/>
                <w:sz w:val="21"/>
                <w:szCs w:val="21"/>
                <w:lang w:val="en-US" w:eastAsia="zh-CN"/>
              </w:rPr>
              <w:t>2</w:t>
            </w:r>
            <w:r>
              <w:rPr>
                <w:rFonts w:hint="eastAsia"/>
                <w:sz w:val="21"/>
                <w:szCs w:val="21"/>
              </w:rPr>
              <w:t>分,每有一处不具有针对性、不完善的扣</w:t>
            </w:r>
            <w:r>
              <w:rPr>
                <w:rFonts w:hint="eastAsia"/>
                <w:sz w:val="21"/>
                <w:szCs w:val="21"/>
                <w:lang w:val="en-US" w:eastAsia="zh-CN"/>
              </w:rPr>
              <w:t>1</w:t>
            </w:r>
            <w:r>
              <w:rPr>
                <w:rFonts w:hint="eastAsia"/>
                <w:sz w:val="21"/>
                <w:szCs w:val="21"/>
              </w:rPr>
              <w:t>分，直至扣完为止。</w:t>
            </w:r>
          </w:p>
        </w:tc>
        <w:tc>
          <w:tcPr>
            <w:tcW w:w="709" w:type="dxa"/>
            <w:vAlign w:val="center"/>
          </w:tcPr>
          <w:p>
            <w:pPr>
              <w:widowControl w:val="0"/>
              <w:adjustRightInd w:val="0"/>
              <w:snapToGrid w:val="0"/>
              <w:spacing w:line="360" w:lineRule="auto"/>
              <w:ind w:firstLine="0" w:firstLineChars="0"/>
              <w:jc w:val="center"/>
              <w:rPr>
                <w:sz w:val="21"/>
                <w:szCs w:val="21"/>
              </w:rPr>
            </w:pPr>
            <w:r>
              <w:rPr>
                <w:rFonts w:hint="eastAsia"/>
                <w:sz w:val="21"/>
                <w:szCs w:val="21"/>
                <w:lang w:val="en-US" w:eastAsia="zh-CN"/>
              </w:rPr>
              <w:t>6</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72" w:type="dxa"/>
            <w:vMerge w:val="continue"/>
            <w:shd w:val="clear" w:color="auto" w:fill="auto"/>
            <w:vAlign w:val="center"/>
          </w:tcPr>
          <w:p>
            <w:pPr>
              <w:widowControl w:val="0"/>
              <w:adjustRightInd w:val="0"/>
              <w:snapToGrid w:val="0"/>
              <w:spacing w:line="360" w:lineRule="auto"/>
              <w:ind w:firstLine="420"/>
              <w:jc w:val="center"/>
              <w:rPr>
                <w:kern w:val="2"/>
                <w:sz w:val="21"/>
                <w:szCs w:val="21"/>
              </w:rPr>
            </w:pPr>
          </w:p>
        </w:tc>
        <w:tc>
          <w:tcPr>
            <w:tcW w:w="581" w:type="dxa"/>
            <w:vMerge w:val="continue"/>
            <w:shd w:val="clear" w:color="auto" w:fill="auto"/>
            <w:vAlign w:val="center"/>
          </w:tcPr>
          <w:p>
            <w:pPr>
              <w:widowControl w:val="0"/>
              <w:adjustRightInd w:val="0"/>
              <w:snapToGrid w:val="0"/>
              <w:spacing w:line="360" w:lineRule="auto"/>
              <w:ind w:firstLine="420"/>
              <w:jc w:val="center"/>
              <w:rPr>
                <w:kern w:val="2"/>
                <w:sz w:val="21"/>
                <w:szCs w:val="21"/>
              </w:rPr>
            </w:pPr>
          </w:p>
        </w:tc>
        <w:tc>
          <w:tcPr>
            <w:tcW w:w="1064" w:type="dxa"/>
            <w:shd w:val="clear" w:color="auto" w:fill="auto"/>
            <w:vAlign w:val="center"/>
          </w:tcPr>
          <w:p>
            <w:pPr>
              <w:adjustRightInd w:val="0"/>
              <w:snapToGrid w:val="0"/>
              <w:spacing w:line="340" w:lineRule="exact"/>
              <w:ind w:firstLine="0" w:firstLineChars="0"/>
              <w:jc w:val="center"/>
              <w:rPr>
                <w:sz w:val="21"/>
                <w:szCs w:val="21"/>
              </w:rPr>
            </w:pPr>
            <w:r>
              <w:rPr>
                <w:rFonts w:hint="eastAsia"/>
                <w:sz w:val="21"/>
                <w:szCs w:val="21"/>
              </w:rPr>
              <w:t>进度控制措施</w:t>
            </w:r>
            <w:r>
              <w:rPr>
                <w:rFonts w:hint="eastAsia"/>
                <w:sz w:val="21"/>
                <w:szCs w:val="21"/>
                <w:lang w:val="en-US" w:eastAsia="zh-CN"/>
              </w:rPr>
              <w:t>6</w:t>
            </w:r>
            <w:r>
              <w:rPr>
                <w:rFonts w:hint="eastAsia"/>
                <w:sz w:val="21"/>
                <w:szCs w:val="21"/>
              </w:rPr>
              <w:t>%</w:t>
            </w:r>
          </w:p>
        </w:tc>
        <w:tc>
          <w:tcPr>
            <w:tcW w:w="5810" w:type="dxa"/>
            <w:shd w:val="clear" w:color="auto" w:fill="FFFFFF"/>
            <w:vAlign w:val="center"/>
          </w:tcPr>
          <w:p>
            <w:pPr>
              <w:adjustRightInd w:val="0"/>
              <w:snapToGrid w:val="0"/>
              <w:spacing w:line="340" w:lineRule="exact"/>
              <w:ind w:firstLine="210" w:firstLineChars="100"/>
              <w:rPr>
                <w:sz w:val="21"/>
                <w:szCs w:val="21"/>
              </w:rPr>
            </w:pPr>
            <w:r>
              <w:rPr>
                <w:rFonts w:hint="eastAsia"/>
                <w:color w:val="000000"/>
                <w:sz w:val="21"/>
                <w:szCs w:val="21"/>
              </w:rPr>
              <w:t>根据供应商提供的进度控制措施进行评审，内容至少包含：1.时间进度安排；2.服务期关键点控制；3.进度保证措施。</w:t>
            </w:r>
            <w:r>
              <w:rPr>
                <w:rFonts w:hint="eastAsia"/>
                <w:sz w:val="21"/>
                <w:szCs w:val="21"/>
              </w:rPr>
              <w:t>完全涵盖以上内容且全面具体可行的得</w:t>
            </w:r>
            <w:r>
              <w:rPr>
                <w:rFonts w:hint="eastAsia"/>
                <w:sz w:val="21"/>
                <w:szCs w:val="21"/>
                <w:lang w:val="en-US" w:eastAsia="zh-CN"/>
              </w:rPr>
              <w:t>6</w:t>
            </w:r>
            <w:r>
              <w:rPr>
                <w:rFonts w:hint="eastAsia"/>
                <w:sz w:val="21"/>
                <w:szCs w:val="21"/>
              </w:rPr>
              <w:t>分</w:t>
            </w:r>
            <w:r>
              <w:rPr>
                <w:rFonts w:hint="eastAsia"/>
                <w:color w:val="000000"/>
                <w:sz w:val="21"/>
                <w:szCs w:val="21"/>
              </w:rPr>
              <w:t>，每缺一项扣</w:t>
            </w:r>
            <w:r>
              <w:rPr>
                <w:rFonts w:hint="eastAsia"/>
                <w:color w:val="000000"/>
                <w:sz w:val="21"/>
                <w:szCs w:val="21"/>
                <w:lang w:val="en-US" w:eastAsia="zh-CN"/>
              </w:rPr>
              <w:t>2</w:t>
            </w:r>
            <w:r>
              <w:rPr>
                <w:rFonts w:hint="eastAsia"/>
                <w:color w:val="000000"/>
                <w:sz w:val="21"/>
                <w:szCs w:val="21"/>
              </w:rPr>
              <w:t>分,每有一处不具有针对性、不完善的扣</w:t>
            </w:r>
            <w:r>
              <w:rPr>
                <w:rFonts w:hint="eastAsia"/>
                <w:color w:val="000000"/>
                <w:sz w:val="21"/>
                <w:szCs w:val="21"/>
                <w:lang w:val="en-US" w:eastAsia="zh-CN"/>
              </w:rPr>
              <w:t>1</w:t>
            </w:r>
            <w:r>
              <w:rPr>
                <w:rFonts w:hint="eastAsia"/>
                <w:color w:val="000000"/>
                <w:sz w:val="21"/>
                <w:szCs w:val="21"/>
              </w:rPr>
              <w:t>分，直至扣完为止。</w:t>
            </w:r>
          </w:p>
        </w:tc>
        <w:tc>
          <w:tcPr>
            <w:tcW w:w="709" w:type="dxa"/>
            <w:vAlign w:val="center"/>
          </w:tcPr>
          <w:p>
            <w:pPr>
              <w:widowControl w:val="0"/>
              <w:adjustRightInd w:val="0"/>
              <w:snapToGrid w:val="0"/>
              <w:spacing w:line="360" w:lineRule="auto"/>
              <w:ind w:firstLine="0" w:firstLineChars="0"/>
              <w:jc w:val="center"/>
              <w:rPr>
                <w:sz w:val="21"/>
                <w:szCs w:val="21"/>
              </w:rPr>
            </w:pPr>
            <w:r>
              <w:rPr>
                <w:rFonts w:hint="eastAsia"/>
                <w:sz w:val="21"/>
                <w:szCs w:val="21"/>
                <w:lang w:val="en-US" w:eastAsia="zh-CN"/>
              </w:rPr>
              <w:t>6</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72" w:type="dxa"/>
            <w:vMerge w:val="continue"/>
            <w:shd w:val="clear" w:color="auto" w:fill="auto"/>
            <w:vAlign w:val="center"/>
          </w:tcPr>
          <w:p>
            <w:pPr>
              <w:widowControl w:val="0"/>
              <w:adjustRightInd w:val="0"/>
              <w:snapToGrid w:val="0"/>
              <w:spacing w:line="360" w:lineRule="auto"/>
              <w:ind w:firstLine="420"/>
              <w:jc w:val="center"/>
              <w:rPr>
                <w:kern w:val="2"/>
                <w:sz w:val="21"/>
                <w:szCs w:val="21"/>
                <w:highlight w:val="yellow"/>
              </w:rPr>
            </w:pPr>
          </w:p>
        </w:tc>
        <w:tc>
          <w:tcPr>
            <w:tcW w:w="581" w:type="dxa"/>
            <w:vMerge w:val="continue"/>
            <w:shd w:val="clear" w:color="auto" w:fill="auto"/>
            <w:vAlign w:val="center"/>
          </w:tcPr>
          <w:p>
            <w:pPr>
              <w:widowControl w:val="0"/>
              <w:adjustRightInd w:val="0"/>
              <w:snapToGrid w:val="0"/>
              <w:spacing w:line="360" w:lineRule="auto"/>
              <w:ind w:firstLine="420"/>
              <w:jc w:val="center"/>
              <w:rPr>
                <w:kern w:val="2"/>
                <w:sz w:val="21"/>
                <w:szCs w:val="21"/>
                <w:highlight w:val="yellow"/>
              </w:rPr>
            </w:pPr>
          </w:p>
        </w:tc>
        <w:tc>
          <w:tcPr>
            <w:tcW w:w="1064" w:type="dxa"/>
            <w:shd w:val="clear" w:color="auto" w:fill="auto"/>
            <w:vAlign w:val="center"/>
          </w:tcPr>
          <w:p>
            <w:pPr>
              <w:adjustRightInd w:val="0"/>
              <w:snapToGrid w:val="0"/>
              <w:spacing w:line="340" w:lineRule="exact"/>
              <w:ind w:firstLine="0" w:firstLineChars="0"/>
              <w:jc w:val="center"/>
              <w:rPr>
                <w:rFonts w:hint="default" w:eastAsia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后续服务方案</w:t>
            </w:r>
            <w:r>
              <w:rPr>
                <w:rFonts w:hint="eastAsia" w:asciiTheme="minorEastAsia" w:hAnsiTheme="minorEastAsia" w:eastAsiaTheme="minorEastAsia" w:cstheme="minorEastAsia"/>
                <w:color w:val="auto"/>
                <w:sz w:val="21"/>
                <w:szCs w:val="21"/>
                <w:highlight w:val="none"/>
                <w:lang w:val="en-US" w:eastAsia="zh-CN"/>
              </w:rPr>
              <w:t>9%</w:t>
            </w:r>
          </w:p>
        </w:tc>
        <w:tc>
          <w:tcPr>
            <w:tcW w:w="5810" w:type="dxa"/>
            <w:shd w:val="clear" w:color="auto" w:fill="FFFFFF"/>
            <w:vAlign w:val="center"/>
          </w:tcPr>
          <w:p>
            <w:pPr>
              <w:adjustRightInd w:val="0"/>
              <w:snapToGrid w:val="0"/>
              <w:spacing w:line="340" w:lineRule="exact"/>
              <w:ind w:firstLine="210" w:firstLineChars="100"/>
              <w:rPr>
                <w:rFonts w:hint="eastAsia"/>
                <w:color w:val="000000"/>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提供的后续服务方案进行评审，内容至少包含：1.后续服务内容；2.</w:t>
            </w:r>
            <w:r>
              <w:rPr>
                <w:rFonts w:hint="eastAsia" w:asciiTheme="minorEastAsia" w:hAnsiTheme="minorEastAsia" w:eastAsiaTheme="minorEastAsia" w:cstheme="minorEastAsia"/>
                <w:color w:val="auto"/>
                <w:sz w:val="21"/>
                <w:szCs w:val="21"/>
                <w:highlight w:val="none"/>
                <w:lang w:val="zh-CN"/>
              </w:rPr>
              <w:t>服务保障措施；</w:t>
            </w:r>
            <w:r>
              <w:rPr>
                <w:rFonts w:hint="eastAsia" w:asciiTheme="minorEastAsia" w:hAnsiTheme="minorEastAsia" w:eastAsiaTheme="minorEastAsia" w:cstheme="minorEastAsia"/>
                <w:color w:val="auto"/>
                <w:sz w:val="21"/>
                <w:szCs w:val="21"/>
                <w:highlight w:val="none"/>
              </w:rPr>
              <w:t>3.后续服务承诺。后续服务方案</w:t>
            </w:r>
            <w:r>
              <w:rPr>
                <w:rFonts w:hint="eastAsia" w:asciiTheme="minorEastAsia" w:hAnsiTheme="minorEastAsia" w:eastAsiaTheme="minorEastAsia" w:cstheme="minorEastAsia"/>
                <w:color w:val="auto"/>
                <w:sz w:val="21"/>
                <w:szCs w:val="21"/>
                <w:highlight w:val="none"/>
                <w:lang w:val="zh-CN"/>
              </w:rPr>
              <w:t>完全涵盖以上内容且阐述清晰具体的得</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rPr>
              <w:t>分，每缺一项扣</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分,每有一处不具有针对性、不完善的扣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分，直至扣完为止</w:t>
            </w:r>
          </w:p>
        </w:tc>
        <w:tc>
          <w:tcPr>
            <w:tcW w:w="709" w:type="dxa"/>
            <w:vAlign w:val="center"/>
          </w:tcPr>
          <w:p>
            <w:pPr>
              <w:widowControl w:val="0"/>
              <w:adjustRightInd w:val="0"/>
              <w:snapToGrid w:val="0"/>
              <w:spacing w:line="360" w:lineRule="auto"/>
              <w:ind w:firstLine="0" w:firstLineChars="0"/>
              <w:jc w:val="center"/>
              <w:rPr>
                <w:rFonts w:hint="default" w:eastAsia="宋体"/>
                <w:sz w:val="21"/>
                <w:szCs w:val="21"/>
                <w:lang w:val="en-US" w:eastAsia="zh-CN"/>
              </w:rPr>
            </w:pPr>
            <w:r>
              <w:rPr>
                <w:rFonts w:hint="eastAsia"/>
                <w:sz w:val="21"/>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472" w:type="dxa"/>
            <w:vMerge w:val="restart"/>
            <w:tcBorders>
              <w:left w:val="single" w:color="auto" w:sz="4" w:space="0"/>
            </w:tcBorders>
            <w:shd w:val="clear" w:color="auto" w:fill="auto"/>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581" w:type="dxa"/>
            <w:vMerge w:val="restart"/>
            <w:shd w:val="clear" w:color="auto" w:fill="auto"/>
            <w:vAlign w:val="center"/>
          </w:tcPr>
          <w:p>
            <w:pPr>
              <w:widowControl w:val="0"/>
              <w:adjustRightInd w:val="0"/>
              <w:snapToGrid w:val="0"/>
              <w:spacing w:line="360" w:lineRule="auto"/>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履约能力</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w:t>
            </w:r>
          </w:p>
          <w:p>
            <w:pPr>
              <w:widowControl w:val="0"/>
              <w:adjustRightInd w:val="0"/>
              <w:snapToGrid w:val="0"/>
              <w:spacing w:line="360" w:lineRule="auto"/>
              <w:ind w:firstLine="0" w:firstLineChars="0"/>
              <w:jc w:val="center"/>
              <w:rPr>
                <w:rFonts w:asciiTheme="minorEastAsia" w:hAnsiTheme="minorEastAsia" w:eastAsiaTheme="minorEastAsia" w:cstheme="minorEastAsia"/>
                <w:sz w:val="21"/>
                <w:szCs w:val="21"/>
              </w:rPr>
            </w:pPr>
          </w:p>
        </w:tc>
        <w:tc>
          <w:tcPr>
            <w:tcW w:w="1064" w:type="dxa"/>
            <w:shd w:val="clear" w:color="auto" w:fill="auto"/>
            <w:vAlign w:val="center"/>
          </w:tcPr>
          <w:p>
            <w:pPr>
              <w:adjustRightInd w:val="0"/>
              <w:snapToGrid w:val="0"/>
              <w:spacing w:line="340" w:lineRule="exact"/>
              <w:ind w:firstLine="0" w:firstLineChars="0"/>
              <w:jc w:val="center"/>
              <w:rPr>
                <w:color w:val="auto"/>
                <w:sz w:val="21"/>
                <w:szCs w:val="21"/>
              </w:rPr>
            </w:pPr>
            <w:r>
              <w:rPr>
                <w:rFonts w:hint="eastAsia"/>
                <w:color w:val="auto"/>
                <w:sz w:val="21"/>
                <w:szCs w:val="21"/>
              </w:rPr>
              <w:t>业绩</w:t>
            </w:r>
          </w:p>
          <w:p>
            <w:pPr>
              <w:adjustRightInd w:val="0"/>
              <w:snapToGrid w:val="0"/>
              <w:spacing w:line="340" w:lineRule="exact"/>
              <w:ind w:firstLine="0" w:firstLineChars="0"/>
              <w:jc w:val="center"/>
              <w:rPr>
                <w:sz w:val="21"/>
                <w:szCs w:val="21"/>
              </w:rPr>
            </w:pPr>
            <w:r>
              <w:rPr>
                <w:rFonts w:hint="eastAsia"/>
                <w:color w:val="auto"/>
                <w:sz w:val="21"/>
                <w:szCs w:val="21"/>
                <w:lang w:val="en-US" w:eastAsia="zh-CN"/>
              </w:rPr>
              <w:t>9</w:t>
            </w:r>
            <w:r>
              <w:rPr>
                <w:rFonts w:hint="eastAsia"/>
                <w:color w:val="auto"/>
                <w:sz w:val="21"/>
                <w:szCs w:val="21"/>
              </w:rPr>
              <w:t>%</w:t>
            </w:r>
          </w:p>
        </w:tc>
        <w:tc>
          <w:tcPr>
            <w:tcW w:w="5810" w:type="dxa"/>
            <w:tcBorders>
              <w:bottom w:val="single" w:color="auto" w:sz="4" w:space="0"/>
            </w:tcBorders>
            <w:shd w:val="clear" w:color="auto" w:fill="FFFFFF"/>
            <w:vAlign w:val="center"/>
          </w:tcPr>
          <w:p>
            <w:pPr>
              <w:adjustRightInd w:val="0"/>
              <w:snapToGrid w:val="0"/>
              <w:spacing w:line="340" w:lineRule="exact"/>
              <w:ind w:firstLine="210" w:firstLineChars="100"/>
              <w:rPr>
                <w:color w:val="auto"/>
                <w:sz w:val="21"/>
                <w:szCs w:val="21"/>
                <w:highlight w:val="none"/>
                <w:lang w:val="zh-CN"/>
              </w:rPr>
            </w:pPr>
            <w:r>
              <w:rPr>
                <w:rFonts w:hint="eastAsia"/>
                <w:sz w:val="21"/>
                <w:szCs w:val="21"/>
                <w:highlight w:val="none"/>
                <w:lang w:val="zh-CN"/>
              </w:rPr>
              <w:t>供应商自201</w:t>
            </w:r>
            <w:r>
              <w:rPr>
                <w:rFonts w:hint="eastAsia"/>
                <w:sz w:val="21"/>
                <w:szCs w:val="21"/>
                <w:highlight w:val="none"/>
                <w:lang w:val="en-US" w:eastAsia="zh-CN"/>
              </w:rPr>
              <w:t>8</w:t>
            </w:r>
            <w:r>
              <w:rPr>
                <w:rFonts w:hint="eastAsia"/>
                <w:sz w:val="21"/>
                <w:szCs w:val="21"/>
                <w:highlight w:val="none"/>
                <w:lang w:val="zh-CN"/>
              </w:rPr>
              <w:t>年1月1日以来（含1日）以来具有</w:t>
            </w:r>
            <w:r>
              <w:rPr>
                <w:rFonts w:hint="eastAsia" w:asciiTheme="minorEastAsia" w:hAnsiTheme="minorEastAsia" w:eastAsiaTheme="minorEastAsia" w:cstheme="minorEastAsia"/>
                <w:color w:val="auto"/>
                <w:sz w:val="21"/>
                <w:szCs w:val="21"/>
                <w:highlight w:val="none"/>
                <w:lang w:val="zh-CN"/>
              </w:rPr>
              <w:t>以来具有类似项目业绩的</w:t>
            </w:r>
            <w:r>
              <w:rPr>
                <w:rFonts w:hint="eastAsia"/>
                <w:sz w:val="21"/>
                <w:szCs w:val="21"/>
                <w:highlight w:val="none"/>
                <w:lang w:val="zh-CN"/>
              </w:rPr>
              <w:t>，</w:t>
            </w:r>
            <w:r>
              <w:rPr>
                <w:rFonts w:hint="eastAsia"/>
                <w:color w:val="auto"/>
                <w:sz w:val="21"/>
                <w:szCs w:val="21"/>
                <w:highlight w:val="none"/>
                <w:lang w:val="zh-CN"/>
              </w:rPr>
              <w:t>每提供1个得</w:t>
            </w:r>
            <w:r>
              <w:rPr>
                <w:rFonts w:hint="eastAsia"/>
                <w:color w:val="auto"/>
                <w:sz w:val="21"/>
                <w:szCs w:val="21"/>
                <w:highlight w:val="none"/>
                <w:lang w:val="en-US" w:eastAsia="zh-CN"/>
              </w:rPr>
              <w:t>3</w:t>
            </w:r>
            <w:r>
              <w:rPr>
                <w:rFonts w:hint="eastAsia"/>
                <w:color w:val="auto"/>
                <w:sz w:val="21"/>
                <w:szCs w:val="21"/>
                <w:highlight w:val="none"/>
                <w:lang w:val="zh-CN"/>
              </w:rPr>
              <w:t>分，最多得</w:t>
            </w:r>
            <w:r>
              <w:rPr>
                <w:rFonts w:hint="eastAsia"/>
                <w:color w:val="auto"/>
                <w:sz w:val="21"/>
                <w:szCs w:val="21"/>
                <w:highlight w:val="none"/>
                <w:lang w:val="en-US" w:eastAsia="zh-CN"/>
              </w:rPr>
              <w:t>9</w:t>
            </w:r>
            <w:r>
              <w:rPr>
                <w:rFonts w:hint="eastAsia"/>
                <w:color w:val="auto"/>
                <w:sz w:val="21"/>
                <w:szCs w:val="21"/>
                <w:highlight w:val="none"/>
                <w:lang w:val="zh-CN"/>
              </w:rPr>
              <w:t>分。</w:t>
            </w:r>
          </w:p>
          <w:p>
            <w:pPr>
              <w:adjustRightInd w:val="0"/>
              <w:snapToGrid w:val="0"/>
              <w:spacing w:line="340" w:lineRule="exact"/>
              <w:ind w:firstLine="0" w:firstLineChars="0"/>
              <w:rPr>
                <w:rFonts w:hint="default" w:eastAsia="宋体"/>
                <w:sz w:val="21"/>
                <w:szCs w:val="21"/>
                <w:lang w:val="en-US" w:eastAsia="zh-CN"/>
              </w:rPr>
            </w:pPr>
            <w:r>
              <w:rPr>
                <w:rFonts w:hint="eastAsia" w:asciiTheme="minorEastAsia" w:hAnsiTheme="minorEastAsia" w:eastAsiaTheme="minorEastAsia" w:cstheme="minorEastAsia"/>
                <w:color w:val="auto"/>
                <w:sz w:val="21"/>
                <w:szCs w:val="21"/>
                <w:highlight w:val="none"/>
                <w:lang w:val="zh-CN"/>
              </w:rPr>
              <w:t>注：</w:t>
            </w:r>
            <w:r>
              <w:rPr>
                <w:rFonts w:hint="eastAsia" w:asciiTheme="minorEastAsia" w:hAnsiTheme="minorEastAsia" w:eastAsiaTheme="minorEastAsia" w:cstheme="minorEastAsia"/>
                <w:color w:val="auto"/>
                <w:sz w:val="21"/>
                <w:szCs w:val="21"/>
                <w:highlight w:val="none"/>
                <w:lang w:val="en-US" w:eastAsia="zh-CN"/>
              </w:rPr>
              <w:t>业绩以合同签订时间为准</w:t>
            </w:r>
            <w:r>
              <w:rPr>
                <w:rFonts w:hint="eastAsia" w:asciiTheme="minorEastAsia" w:hAnsiTheme="minorEastAsia" w:eastAsiaTheme="minorEastAsia" w:cstheme="minorEastAsia"/>
                <w:color w:val="auto"/>
                <w:sz w:val="21"/>
                <w:szCs w:val="21"/>
                <w:highlight w:val="none"/>
                <w:lang w:val="zh-CN"/>
              </w:rPr>
              <w:t>提供合同复印件，并加盖单位公章，不提供不得分。</w:t>
            </w:r>
          </w:p>
        </w:tc>
        <w:tc>
          <w:tcPr>
            <w:tcW w:w="709" w:type="dxa"/>
            <w:tcBorders>
              <w:bottom w:val="single" w:color="auto" w:sz="4" w:space="0"/>
            </w:tcBorders>
            <w:vAlign w:val="center"/>
          </w:tcPr>
          <w:p>
            <w:pPr>
              <w:widowControl w:val="0"/>
              <w:adjustRightInd w:val="0"/>
              <w:snapToGrid w:val="0"/>
              <w:spacing w:line="360" w:lineRule="auto"/>
              <w:ind w:firstLine="0" w:firstLineChars="0"/>
              <w:jc w:val="center"/>
              <w:rPr>
                <w:sz w:val="21"/>
                <w:szCs w:val="21"/>
              </w:rPr>
            </w:pPr>
            <w:r>
              <w:rPr>
                <w:rFonts w:hint="eastAsia"/>
                <w:sz w:val="21"/>
                <w:szCs w:val="21"/>
                <w:lang w:val="en-US" w:eastAsia="zh-CN"/>
              </w:rPr>
              <w:t>9</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exact"/>
          <w:jc w:val="center"/>
        </w:trPr>
        <w:tc>
          <w:tcPr>
            <w:tcW w:w="472" w:type="dxa"/>
            <w:vMerge w:val="continue"/>
            <w:tcBorders>
              <w:left w:val="single" w:color="auto" w:sz="4" w:space="0"/>
            </w:tcBorders>
            <w:shd w:val="clear" w:color="auto" w:fill="auto"/>
            <w:vAlign w:val="center"/>
          </w:tcPr>
          <w:p>
            <w:pPr>
              <w:widowControl w:val="0"/>
              <w:adjustRightInd w:val="0"/>
              <w:snapToGrid w:val="0"/>
              <w:spacing w:line="360" w:lineRule="auto"/>
              <w:ind w:firstLine="0" w:firstLineChars="0"/>
              <w:rPr>
                <w:rFonts w:asciiTheme="minorEastAsia" w:hAnsiTheme="minorEastAsia" w:eastAsiaTheme="minorEastAsia" w:cstheme="minorEastAsia"/>
                <w:sz w:val="21"/>
                <w:szCs w:val="21"/>
              </w:rPr>
            </w:pPr>
          </w:p>
        </w:tc>
        <w:tc>
          <w:tcPr>
            <w:tcW w:w="581" w:type="dxa"/>
            <w:vMerge w:val="continue"/>
            <w:shd w:val="clear" w:color="auto" w:fill="auto"/>
            <w:vAlign w:val="center"/>
          </w:tcPr>
          <w:p>
            <w:pPr>
              <w:widowControl w:val="0"/>
              <w:adjustRightInd w:val="0"/>
              <w:snapToGrid w:val="0"/>
              <w:spacing w:line="360" w:lineRule="auto"/>
              <w:ind w:firstLine="0" w:firstLineChars="0"/>
              <w:rPr>
                <w:rFonts w:asciiTheme="minorEastAsia" w:hAnsiTheme="minorEastAsia" w:eastAsiaTheme="minorEastAsia" w:cstheme="minorEastAsia"/>
                <w:sz w:val="21"/>
                <w:szCs w:val="21"/>
              </w:rPr>
            </w:pPr>
          </w:p>
        </w:tc>
        <w:tc>
          <w:tcPr>
            <w:tcW w:w="1064" w:type="dxa"/>
            <w:shd w:val="clear" w:color="auto" w:fill="auto"/>
            <w:vAlign w:val="center"/>
          </w:tcPr>
          <w:p>
            <w:pPr>
              <w:adjustRightInd w:val="0"/>
              <w:snapToGrid w:val="0"/>
              <w:spacing w:line="340" w:lineRule="exact"/>
              <w:ind w:firstLine="0" w:firstLineChars="0"/>
              <w:jc w:val="center"/>
              <w:rPr>
                <w:sz w:val="21"/>
                <w:szCs w:val="21"/>
                <w:highlight w:val="none"/>
              </w:rPr>
            </w:pPr>
            <w:r>
              <w:rPr>
                <w:rFonts w:hint="eastAsia"/>
                <w:sz w:val="21"/>
                <w:szCs w:val="21"/>
                <w:highlight w:val="none"/>
              </w:rPr>
              <w:t>人员</w:t>
            </w:r>
          </w:p>
          <w:p>
            <w:pPr>
              <w:adjustRightInd w:val="0"/>
              <w:snapToGrid w:val="0"/>
              <w:spacing w:line="340" w:lineRule="exact"/>
              <w:ind w:firstLine="0" w:firstLineChars="0"/>
              <w:jc w:val="center"/>
              <w:rPr>
                <w:sz w:val="21"/>
                <w:szCs w:val="21"/>
                <w:highlight w:val="none"/>
              </w:rPr>
            </w:pPr>
            <w:r>
              <w:rPr>
                <w:rFonts w:hint="eastAsia"/>
                <w:sz w:val="21"/>
                <w:szCs w:val="21"/>
                <w:highlight w:val="none"/>
              </w:rPr>
              <w:t>配置</w:t>
            </w:r>
          </w:p>
          <w:p>
            <w:pPr>
              <w:adjustRightInd w:val="0"/>
              <w:snapToGrid w:val="0"/>
              <w:spacing w:line="340" w:lineRule="exact"/>
              <w:ind w:firstLine="0" w:firstLineChars="0"/>
              <w:jc w:val="center"/>
              <w:rPr>
                <w:sz w:val="21"/>
                <w:szCs w:val="21"/>
                <w:highlight w:val="none"/>
              </w:rPr>
            </w:pPr>
            <w:r>
              <w:rPr>
                <w:rFonts w:hint="eastAsia"/>
                <w:sz w:val="21"/>
                <w:szCs w:val="21"/>
                <w:highlight w:val="none"/>
                <w:lang w:val="en-US" w:eastAsia="zh-CN"/>
              </w:rPr>
              <w:t>10</w:t>
            </w:r>
            <w:r>
              <w:rPr>
                <w:rFonts w:hint="eastAsia"/>
                <w:sz w:val="21"/>
                <w:szCs w:val="21"/>
                <w:highlight w:val="none"/>
              </w:rPr>
              <w:t>%</w:t>
            </w:r>
          </w:p>
        </w:tc>
        <w:tc>
          <w:tcPr>
            <w:tcW w:w="5810" w:type="dxa"/>
            <w:tcBorders>
              <w:bottom w:val="single" w:color="auto" w:sz="4" w:space="0"/>
            </w:tcBorders>
            <w:shd w:val="clear" w:color="auto" w:fill="FFFFFF"/>
            <w:vAlign w:val="center"/>
          </w:tcPr>
          <w:p>
            <w:pPr>
              <w:adjustRightInd w:val="0"/>
              <w:snapToGrid w:val="0"/>
              <w:spacing w:line="340" w:lineRule="exact"/>
              <w:ind w:left="0" w:leftChars="0" w:firstLine="210" w:firstLineChars="10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1.设计负责人（1名）：</w:t>
            </w:r>
            <w:r>
              <w:rPr>
                <w:rFonts w:hint="eastAsia"/>
                <w:color w:val="000000" w:themeColor="text1"/>
                <w:sz w:val="21"/>
                <w:szCs w:val="21"/>
                <w:highlight w:val="none"/>
                <w:lang w:val="en-US" w:eastAsia="zh-CN"/>
                <w14:textFill>
                  <w14:solidFill>
                    <w14:schemeClr w14:val="tx1"/>
                  </w14:solidFill>
                </w14:textFill>
              </w:rPr>
              <w:t>具有</w:t>
            </w:r>
            <w:r>
              <w:rPr>
                <w:rFonts w:hint="eastAsia"/>
                <w:color w:val="000000" w:themeColor="text1"/>
                <w:sz w:val="21"/>
                <w:szCs w:val="21"/>
                <w:highlight w:val="none"/>
                <w:lang w:val="zh-CN"/>
                <w14:textFill>
                  <w14:solidFill>
                    <w14:schemeClr w14:val="tx1"/>
                  </w14:solidFill>
                </w14:textFill>
              </w:rPr>
              <w:t>室内设计或艺术设计等相关专业得</w:t>
            </w: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lang w:val="zh-CN"/>
                <w14:textFill>
                  <w14:solidFill>
                    <w14:schemeClr w14:val="tx1"/>
                  </w14:solidFill>
                </w14:textFill>
              </w:rPr>
              <w:t>分。</w:t>
            </w:r>
          </w:p>
          <w:p>
            <w:pPr>
              <w:adjustRightInd w:val="0"/>
              <w:snapToGrid w:val="0"/>
              <w:spacing w:line="340" w:lineRule="exact"/>
              <w:ind w:left="0" w:leftChars="0" w:firstLine="210" w:firstLineChars="100"/>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lang w:val="zh-CN"/>
                <w14:textFill>
                  <w14:solidFill>
                    <w14:schemeClr w14:val="tx1"/>
                  </w14:solidFill>
                </w14:textFill>
              </w:rPr>
              <w:t>主创设计师（</w:t>
            </w:r>
            <w:r>
              <w:rPr>
                <w:rFonts w:hint="eastAsia"/>
                <w:color w:val="000000" w:themeColor="text1"/>
                <w:sz w:val="21"/>
                <w:szCs w:val="21"/>
                <w:highlight w:val="none"/>
                <w:lang w:val="en-US" w:eastAsia="zh-CN"/>
                <w14:textFill>
                  <w14:solidFill>
                    <w14:schemeClr w14:val="tx1"/>
                  </w14:solidFill>
                </w14:textFill>
              </w:rPr>
              <w:t>1名</w:t>
            </w:r>
            <w:r>
              <w:rPr>
                <w:rFonts w:hint="eastAsia"/>
                <w:color w:val="000000" w:themeColor="text1"/>
                <w:sz w:val="21"/>
                <w:szCs w:val="21"/>
                <w:highlight w:val="none"/>
                <w:lang w:val="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具有</w:t>
            </w:r>
            <w:r>
              <w:rPr>
                <w:rFonts w:hint="eastAsia"/>
                <w:color w:val="000000" w:themeColor="text1"/>
                <w:sz w:val="21"/>
                <w:szCs w:val="21"/>
                <w:highlight w:val="none"/>
                <w:lang w:val="zh-CN"/>
                <w14:textFill>
                  <w14:solidFill>
                    <w14:schemeClr w14:val="tx1"/>
                  </w14:solidFill>
                </w14:textFill>
              </w:rPr>
              <w:t>环境设计或室内设计等相关专业</w:t>
            </w:r>
            <w:r>
              <w:rPr>
                <w:rFonts w:hint="eastAsia"/>
                <w:color w:val="000000" w:themeColor="text1"/>
                <w:sz w:val="21"/>
                <w:szCs w:val="21"/>
                <w:highlight w:val="none"/>
                <w:lang w:val="en-US" w:eastAsia="zh-CN"/>
                <w14:textFill>
                  <w14:solidFill>
                    <w14:schemeClr w14:val="tx1"/>
                  </w14:solidFill>
                </w14:textFill>
              </w:rPr>
              <w:t>得3分。</w:t>
            </w:r>
          </w:p>
          <w:p>
            <w:pPr>
              <w:adjustRightInd w:val="0"/>
              <w:snapToGrid w:val="0"/>
              <w:spacing w:line="340" w:lineRule="exact"/>
              <w:ind w:left="0" w:leftChars="0" w:firstLine="210" w:firstLineChars="100"/>
              <w:rPr>
                <w:rFonts w:hint="eastAsia"/>
                <w:color w:val="000000" w:themeColor="text1"/>
                <w:sz w:val="21"/>
                <w:szCs w:val="21"/>
                <w:highlight w:val="none"/>
                <w:lang w:val="zh-CN"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3.助理设计师（1名)：具有环境设计或室内设计等相关专业得3分。</w:t>
            </w:r>
          </w:p>
          <w:p>
            <w:pPr>
              <w:adjustRightInd w:val="0"/>
              <w:snapToGrid w:val="0"/>
              <w:spacing w:line="340" w:lineRule="exact"/>
              <w:ind w:firstLine="0" w:firstLineChars="0"/>
              <w:rPr>
                <w:rFonts w:hint="eastAsia"/>
                <w:sz w:val="21"/>
                <w:szCs w:val="21"/>
                <w:highlight w:val="none"/>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注：1.提供身份证、学历证书（或职称证）复印件，并加盖单位鲜章；2.资料不全或未提供不得分。3.同一人员不重复计分。</w:t>
            </w:r>
          </w:p>
        </w:tc>
        <w:tc>
          <w:tcPr>
            <w:tcW w:w="709" w:type="dxa"/>
            <w:tcBorders>
              <w:bottom w:val="single" w:color="auto" w:sz="4" w:space="0"/>
            </w:tcBorders>
            <w:vAlign w:val="center"/>
          </w:tcPr>
          <w:p>
            <w:pPr>
              <w:widowControl w:val="0"/>
              <w:adjustRightInd w:val="0"/>
              <w:snapToGrid w:val="0"/>
              <w:spacing w:line="360" w:lineRule="auto"/>
              <w:ind w:firstLine="0" w:firstLineChars="0"/>
              <w:jc w:val="center"/>
              <w:rPr>
                <w:sz w:val="21"/>
                <w:szCs w:val="21"/>
                <w:highlight w:val="none"/>
              </w:rPr>
            </w:pPr>
            <w:r>
              <w:rPr>
                <w:rFonts w:hint="eastAsia"/>
                <w:sz w:val="21"/>
                <w:szCs w:val="21"/>
                <w:highlight w:val="none"/>
                <w:lang w:val="en-US" w:eastAsia="zh-CN"/>
              </w:rPr>
              <w:t>10</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72" w:type="dxa"/>
            <w:tcBorders>
              <w:left w:val="single" w:color="auto" w:sz="4" w:space="0"/>
            </w:tcBorders>
            <w:vAlign w:val="center"/>
          </w:tcPr>
          <w:p>
            <w:pPr>
              <w:widowControl w:val="0"/>
              <w:adjustRightInd w:val="0"/>
              <w:snapToGrid w:val="0"/>
              <w:spacing w:line="360" w:lineRule="auto"/>
              <w:ind w:firstLine="0" w:firstLineChars="0"/>
              <w:jc w:val="center"/>
              <w:rPr>
                <w:rFonts w:hint="eastAsia" w:eastAsia="宋体"/>
                <w:kern w:val="2"/>
                <w:sz w:val="21"/>
                <w:szCs w:val="21"/>
                <w:lang w:val="en-US" w:eastAsia="zh-CN"/>
              </w:rPr>
            </w:pPr>
            <w:r>
              <w:rPr>
                <w:rFonts w:hint="eastAsia"/>
                <w:kern w:val="2"/>
                <w:sz w:val="21"/>
                <w:szCs w:val="21"/>
                <w:lang w:val="en-US" w:eastAsia="zh-CN"/>
              </w:rPr>
              <w:t>4</w:t>
            </w:r>
          </w:p>
        </w:tc>
        <w:tc>
          <w:tcPr>
            <w:tcW w:w="16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sz w:val="21"/>
                <w:szCs w:val="21"/>
                <w:lang w:val="zh-CN"/>
              </w:rPr>
            </w:pPr>
            <w:r>
              <w:rPr>
                <w:rFonts w:hint="eastAsia"/>
                <w:sz w:val="21"/>
                <w:szCs w:val="21"/>
              </w:rPr>
              <w:t>响应文件</w:t>
            </w:r>
            <w:r>
              <w:rPr>
                <w:rFonts w:hint="eastAsia"/>
                <w:sz w:val="21"/>
                <w:szCs w:val="21"/>
                <w:lang w:val="zh-CN"/>
              </w:rPr>
              <w:t>的</w:t>
            </w:r>
          </w:p>
          <w:p>
            <w:pPr>
              <w:adjustRightInd w:val="0"/>
              <w:snapToGrid w:val="0"/>
              <w:spacing w:line="340" w:lineRule="exact"/>
              <w:ind w:firstLine="0" w:firstLineChars="0"/>
              <w:jc w:val="center"/>
              <w:rPr>
                <w:sz w:val="21"/>
                <w:szCs w:val="21"/>
                <w:lang w:val="zh-CN"/>
              </w:rPr>
            </w:pPr>
            <w:r>
              <w:rPr>
                <w:rFonts w:hint="eastAsia"/>
                <w:sz w:val="21"/>
                <w:szCs w:val="21"/>
                <w:lang w:val="zh-CN"/>
              </w:rPr>
              <w:t>规范性</w:t>
            </w:r>
            <w:r>
              <w:rPr>
                <w:rFonts w:hint="eastAsia"/>
                <w:sz w:val="21"/>
                <w:szCs w:val="21"/>
                <w:lang w:val="en-US" w:eastAsia="zh-CN"/>
              </w:rPr>
              <w:t>3</w:t>
            </w:r>
            <w:r>
              <w:rPr>
                <w:rFonts w:hint="eastAsia"/>
                <w:sz w:val="21"/>
                <w:szCs w:val="21"/>
              </w:rPr>
              <w:t>%</w:t>
            </w:r>
          </w:p>
        </w:tc>
        <w:tc>
          <w:tcPr>
            <w:tcW w:w="5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210" w:firstLineChars="100"/>
              <w:rPr>
                <w:sz w:val="21"/>
                <w:szCs w:val="21"/>
                <w:lang w:val="zh-CN"/>
              </w:rPr>
            </w:pPr>
            <w:r>
              <w:rPr>
                <w:rFonts w:hint="eastAsia"/>
                <w:sz w:val="21"/>
                <w:szCs w:val="21"/>
              </w:rPr>
              <w:t>响应文件</w:t>
            </w:r>
            <w:r>
              <w:rPr>
                <w:rFonts w:hint="eastAsia"/>
                <w:sz w:val="21"/>
                <w:szCs w:val="21"/>
                <w:lang w:val="zh-CN"/>
              </w:rPr>
              <w:t>制作规范，没有细微偏差情形的得</w:t>
            </w:r>
            <w:r>
              <w:rPr>
                <w:rFonts w:hint="eastAsia"/>
                <w:sz w:val="21"/>
                <w:szCs w:val="21"/>
                <w:lang w:val="en-US" w:eastAsia="zh-CN"/>
              </w:rPr>
              <w:t>3</w:t>
            </w:r>
            <w:r>
              <w:rPr>
                <w:rFonts w:hint="eastAsia"/>
                <w:sz w:val="21"/>
                <w:szCs w:val="21"/>
                <w:lang w:val="zh-CN"/>
              </w:rPr>
              <w:t>分；有一项细微偏差扣</w:t>
            </w:r>
            <w:r>
              <w:rPr>
                <w:rFonts w:hint="eastAsia"/>
                <w:sz w:val="21"/>
                <w:szCs w:val="21"/>
              </w:rPr>
              <w:t>0.5</w:t>
            </w:r>
            <w:r>
              <w:rPr>
                <w:rFonts w:hint="eastAsia"/>
                <w:sz w:val="21"/>
                <w:szCs w:val="21"/>
                <w:lang w:val="zh-CN"/>
              </w:rPr>
              <w:t>分，直至该项分值扣完为止。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0" w:firstLineChars="0"/>
              <w:jc w:val="center"/>
              <w:rPr>
                <w:kern w:val="2"/>
                <w:sz w:val="21"/>
                <w:szCs w:val="21"/>
              </w:rPr>
            </w:pPr>
            <w:r>
              <w:rPr>
                <w:rFonts w:hint="eastAsia"/>
                <w:kern w:val="2"/>
                <w:sz w:val="21"/>
                <w:szCs w:val="21"/>
                <w:lang w:val="en-US" w:eastAsia="zh-CN"/>
              </w:rPr>
              <w:t>3</w:t>
            </w:r>
            <w:r>
              <w:rPr>
                <w:rFonts w:hint="eastAsia"/>
                <w:kern w:val="2"/>
                <w:sz w:val="21"/>
                <w:szCs w:val="21"/>
              </w:rPr>
              <w:t>分</w:t>
            </w:r>
          </w:p>
        </w:tc>
      </w:tr>
    </w:tbl>
    <w:p>
      <w:pPr>
        <w:widowControl w:val="0"/>
        <w:adjustRightInd w:val="0"/>
        <w:snapToGrid w:val="0"/>
        <w:spacing w:line="420" w:lineRule="exact"/>
        <w:ind w:firstLine="422"/>
        <w:rPr>
          <w:b/>
          <w:bCs/>
          <w:sz w:val="21"/>
          <w:szCs w:val="21"/>
        </w:rPr>
      </w:pPr>
      <w:r>
        <w:rPr>
          <w:rFonts w:hint="eastAsia"/>
          <w:b/>
          <w:bCs/>
          <w:sz w:val="21"/>
          <w:szCs w:val="21"/>
        </w:rPr>
        <w:t>注：1、评分的取值按四舍五入法，保留小数点后两位。</w:t>
      </w:r>
    </w:p>
    <w:p>
      <w:pPr>
        <w:widowControl w:val="0"/>
        <w:numPr>
          <w:ilvl w:val="0"/>
          <w:numId w:val="8"/>
        </w:numPr>
        <w:adjustRightInd w:val="0"/>
        <w:snapToGrid w:val="0"/>
        <w:spacing w:line="420" w:lineRule="exact"/>
        <w:ind w:firstLine="843" w:firstLineChars="400"/>
      </w:pPr>
      <w:r>
        <w:rPr>
          <w:rFonts w:hint="eastAsia"/>
          <w:b/>
          <w:bCs/>
          <w:sz w:val="21"/>
          <w:szCs w:val="21"/>
        </w:rPr>
        <w:t>评分标准中要求提供复印件的证明材料须清晰可辨。</w:t>
      </w:r>
    </w:p>
    <w:p>
      <w:pPr>
        <w:pStyle w:val="4"/>
        <w:keepNext w:val="0"/>
        <w:adjustRightInd w:val="0"/>
        <w:snapToGrid w:val="0"/>
        <w:spacing w:line="420" w:lineRule="exact"/>
      </w:pPr>
      <w:bookmarkStart w:id="170" w:name="_Toc9285"/>
      <w:bookmarkStart w:id="171" w:name="_Toc19331"/>
      <w:bookmarkStart w:id="172" w:name="_Toc9805"/>
      <w:r>
        <w:rPr>
          <w:rFonts w:hint="eastAsia"/>
        </w:rPr>
        <w:t>6.4磋商纪律及注意事项</w:t>
      </w:r>
      <w:bookmarkEnd w:id="170"/>
      <w:bookmarkEnd w:id="171"/>
      <w:bookmarkEnd w:id="172"/>
    </w:p>
    <w:p>
      <w:pPr>
        <w:keepLines/>
        <w:widowControl w:val="0"/>
        <w:adjustRightInd w:val="0"/>
        <w:snapToGrid w:val="0"/>
        <w:spacing w:line="420" w:lineRule="exact"/>
        <w:ind w:firstLine="480"/>
      </w:pPr>
      <w:r>
        <w:rPr>
          <w:rFonts w:hint="eastAsia"/>
        </w:rPr>
        <w:t>6.4.1磋商小组内部讨论的情况和意见必须保密，任何人不得以任何形式透露给供应商或与供应商有关的单位或个人。</w:t>
      </w:r>
    </w:p>
    <w:p>
      <w:pPr>
        <w:keepLines/>
        <w:widowControl w:val="0"/>
        <w:adjustRightInd w:val="0"/>
        <w:snapToGrid w:val="0"/>
        <w:spacing w:line="420" w:lineRule="exact"/>
        <w:ind w:firstLine="480"/>
      </w:pPr>
      <w:r>
        <w:rPr>
          <w:rFonts w:hint="eastAsia"/>
        </w:rPr>
        <w:t>6.4.2在磋商过程中，供应商不得以任何形式对磋商小组成员进行旨在影响磋商结果的私下接触，否则将取消其参与磋商的资格。</w:t>
      </w:r>
    </w:p>
    <w:p>
      <w:pPr>
        <w:keepLines/>
        <w:widowControl w:val="0"/>
        <w:adjustRightInd w:val="0"/>
        <w:snapToGrid w:val="0"/>
        <w:spacing w:line="420" w:lineRule="exact"/>
        <w:ind w:firstLine="480"/>
      </w:pPr>
      <w:r>
        <w:rPr>
          <w:rFonts w:hint="eastAsia"/>
        </w:rPr>
        <w:t>6.4.3对各供应商的商业秘密，磋商小组成员应予以保密，不得泄露给其他供应商。</w:t>
      </w:r>
    </w:p>
    <w:p>
      <w:pPr>
        <w:keepLines/>
        <w:widowControl w:val="0"/>
        <w:adjustRightInd w:val="0"/>
        <w:snapToGrid w:val="0"/>
        <w:spacing w:line="420" w:lineRule="exact"/>
        <w:ind w:firstLine="480"/>
      </w:pPr>
      <w:r>
        <w:rPr>
          <w:rFonts w:hint="eastAsia"/>
        </w:rPr>
        <w:t>6.4.4 磋商小组独立评判，推荐成交候选人，并写出书面报告。</w:t>
      </w:r>
      <w:bookmarkStart w:id="173" w:name="_Toc24205"/>
    </w:p>
    <w:p>
      <w:pPr>
        <w:rPr>
          <w:rFonts w:hint="eastAsia"/>
          <w:lang w:val="en-US" w:eastAsia="zh-CN"/>
        </w:rPr>
      </w:pPr>
      <w:r>
        <w:rPr>
          <w:rFonts w:hint="eastAsia"/>
        </w:rPr>
        <w:br w:type="page"/>
      </w:r>
      <w:bookmarkEnd w:id="173"/>
    </w:p>
    <w:p>
      <w:pPr>
        <w:pStyle w:val="3"/>
        <w:keepNext w:val="0"/>
        <w:keepLines w:val="0"/>
        <w:widowControl w:val="0"/>
        <w:numPr>
          <w:ilvl w:val="0"/>
          <w:numId w:val="9"/>
        </w:numPr>
        <w:adjustRightInd w:val="0"/>
        <w:snapToGrid w:val="0"/>
        <w:spacing w:line="360" w:lineRule="auto"/>
        <w:rPr>
          <w:color w:val="auto"/>
        </w:rPr>
      </w:pPr>
      <w:bookmarkStart w:id="211" w:name="_GoBack"/>
      <w:bookmarkEnd w:id="211"/>
      <w:bookmarkStart w:id="174" w:name="_Toc16774"/>
      <w:r>
        <w:rPr>
          <w:rFonts w:hint="eastAsia"/>
          <w:color w:val="auto"/>
        </w:rPr>
        <w:t>拟签订合同草案条款</w:t>
      </w:r>
      <w:bookmarkEnd w:id="174"/>
    </w:p>
    <w:p>
      <w:pPr>
        <w:ind w:firstLine="480"/>
        <w:rPr>
          <w:color w:val="auto"/>
          <w:highlight w:val="none"/>
        </w:rPr>
      </w:pPr>
      <w:r>
        <w:rPr>
          <w:rFonts w:hint="eastAsia"/>
          <w:color w:val="auto"/>
          <w:highlight w:val="none"/>
        </w:rPr>
        <w:t>合同编号：</w:t>
      </w:r>
    </w:p>
    <w:p>
      <w:pPr>
        <w:ind w:firstLine="480"/>
        <w:rPr>
          <w:rFonts w:hint="eastAsia" w:eastAsia="宋体"/>
          <w:color w:val="auto"/>
          <w:highlight w:val="none"/>
          <w:lang w:eastAsia="zh-CN"/>
        </w:rPr>
      </w:pPr>
      <w:r>
        <w:rPr>
          <w:rFonts w:hint="eastAsia"/>
          <w:color w:val="auto"/>
          <w:highlight w:val="none"/>
        </w:rPr>
        <w:t>签订地点：</w:t>
      </w:r>
      <w:r>
        <w:rPr>
          <w:rFonts w:hint="eastAsia"/>
          <w:color w:val="auto"/>
          <w:highlight w:val="none"/>
          <w:lang w:eastAsia="zh-CN"/>
        </w:rPr>
        <w:t>成都市金牛区</w:t>
      </w:r>
      <w:r>
        <w:rPr>
          <w:rFonts w:hint="eastAsia"/>
          <w:color w:val="auto"/>
          <w:highlight w:val="none"/>
          <w:lang w:val="en-US" w:eastAsia="zh-CN"/>
        </w:rPr>
        <w:t>商务局</w:t>
      </w:r>
    </w:p>
    <w:p>
      <w:pPr>
        <w:ind w:firstLine="480"/>
        <w:rPr>
          <w:color w:val="auto"/>
          <w:highlight w:val="none"/>
        </w:rPr>
      </w:pPr>
      <w:r>
        <w:rPr>
          <w:rFonts w:hint="eastAsia"/>
          <w:color w:val="auto"/>
          <w:highlight w:val="none"/>
        </w:rPr>
        <w:t>签订时间：    年   月    日</w:t>
      </w:r>
    </w:p>
    <w:p>
      <w:pPr>
        <w:ind w:firstLine="480"/>
        <w:rPr>
          <w:rFonts w:hint="eastAsia" w:eastAsia="宋体"/>
          <w:b/>
          <w:bCs/>
          <w:color w:val="auto"/>
          <w:highlight w:val="none"/>
          <w:u w:val="single"/>
          <w:lang w:eastAsia="zh-CN"/>
        </w:rPr>
      </w:pPr>
      <w:r>
        <w:rPr>
          <w:rFonts w:hint="eastAsia"/>
          <w:color w:val="auto"/>
          <w:highlight w:val="none"/>
        </w:rPr>
        <w:t>采购人（甲方）：</w:t>
      </w:r>
      <w:r>
        <w:rPr>
          <w:rFonts w:hint="eastAsia"/>
          <w:b/>
          <w:bCs/>
          <w:color w:val="auto"/>
          <w:highlight w:val="none"/>
          <w:u w:val="single"/>
          <w:lang w:eastAsia="zh-CN"/>
        </w:rPr>
        <w:t>成都市金牛区</w:t>
      </w:r>
      <w:r>
        <w:rPr>
          <w:rFonts w:hint="eastAsia"/>
          <w:b/>
          <w:bCs/>
          <w:color w:val="auto"/>
          <w:highlight w:val="none"/>
          <w:u w:val="single"/>
          <w:lang w:val="en-US" w:eastAsia="zh-CN"/>
        </w:rPr>
        <w:t>商务局</w:t>
      </w:r>
    </w:p>
    <w:p>
      <w:pPr>
        <w:ind w:firstLine="480"/>
        <w:rPr>
          <w:rFonts w:asciiTheme="minorEastAsia" w:hAnsiTheme="minorEastAsia" w:eastAsiaTheme="minorEastAsia" w:cstheme="minorEastAsia"/>
          <w:b/>
          <w:bCs/>
          <w:color w:val="auto"/>
          <w:highlight w:val="none"/>
        </w:rPr>
      </w:pPr>
      <w:r>
        <w:rPr>
          <w:rFonts w:hint="eastAsia"/>
          <w:color w:val="auto"/>
          <w:highlight w:val="none"/>
        </w:rPr>
        <w:t>成交供应商（乙方）：</w:t>
      </w:r>
      <w:r>
        <w:rPr>
          <w:rFonts w:hint="eastAsia"/>
          <w:color w:val="auto"/>
          <w:highlight w:val="none"/>
          <w:u w:val="singl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bookmarkStart w:id="175" w:name="_Toc1713"/>
      <w:bookmarkStart w:id="176" w:name="_Toc217446107"/>
    </w:p>
    <w:p>
      <w:pPr>
        <w:widowControl w:val="0"/>
        <w:adjustRightInd w:val="0"/>
        <w:snapToGrid w:val="0"/>
        <w:spacing w:line="360" w:lineRule="auto"/>
        <w:ind w:firstLine="480"/>
        <w:rPr>
          <w:rFonts w:asciiTheme="minorEastAsia" w:hAnsiTheme="minorEastAsia" w:eastAsiaTheme="minorEastAsia" w:cstheme="minorEastAsia"/>
          <w:color w:val="auto"/>
          <w:highlight w:val="none"/>
        </w:rPr>
      </w:pPr>
    </w:p>
    <w:bookmarkEnd w:id="175"/>
    <w:bookmarkEnd w:id="176"/>
    <w:p>
      <w:pPr>
        <w:wordWrap w:val="0"/>
        <w:adjustRightInd w:val="0"/>
        <w:snapToGrid w:val="0"/>
        <w:spacing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w:t>
      </w:r>
      <w:r>
        <w:rPr>
          <w:rFonts w:hint="eastAsia" w:asciiTheme="minorEastAsia" w:hAnsiTheme="minorEastAsia" w:eastAsiaTheme="minorEastAsia" w:cstheme="minorEastAsia"/>
          <w:color w:val="auto"/>
          <w:highlight w:val="none"/>
          <w:lang w:eastAsia="zh-CN"/>
        </w:rPr>
        <w:t>中华人民共和国民法典</w:t>
      </w:r>
      <w:r>
        <w:rPr>
          <w:rFonts w:hint="eastAsia" w:asciiTheme="minorEastAsia" w:hAnsiTheme="minorEastAsia" w:eastAsiaTheme="minorEastAsia" w:cstheme="minorEastAsia"/>
          <w:color w:val="auto"/>
          <w:highlight w:val="none"/>
        </w:rPr>
        <w:t>》、《中华人民共和国政府采购法》与项目行业有关的法律法规，以及</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10"/>
        </w:numPr>
        <w:ind w:firstLine="0" w:firstLineChars="0"/>
        <w:rPr>
          <w:b/>
          <w:bCs/>
          <w:color w:val="auto"/>
          <w:highlight w:val="none"/>
        </w:rPr>
      </w:pPr>
      <w:r>
        <w:rPr>
          <w:rFonts w:hint="eastAsia"/>
          <w:b/>
          <w:bCs/>
          <w:color w:val="auto"/>
          <w:highlight w:val="none"/>
        </w:rPr>
        <w:t>项目概况</w:t>
      </w:r>
    </w:p>
    <w:p>
      <w:pPr>
        <w:ind w:firstLine="480"/>
        <w:rPr>
          <w:color w:val="auto"/>
          <w:highlight w:val="none"/>
        </w:rPr>
      </w:pPr>
      <w:r>
        <w:rPr>
          <w:rFonts w:hint="eastAsia"/>
          <w:color w:val="auto"/>
          <w:highlight w:val="none"/>
        </w:rPr>
        <w:t>XXXXXXXXX</w:t>
      </w:r>
    </w:p>
    <w:p>
      <w:pPr>
        <w:numPr>
          <w:ilvl w:val="0"/>
          <w:numId w:val="10"/>
        </w:numPr>
        <w:ind w:firstLine="0" w:firstLineChars="0"/>
        <w:rPr>
          <w:b/>
          <w:bCs/>
          <w:color w:val="auto"/>
          <w:highlight w:val="none"/>
        </w:rPr>
      </w:pPr>
      <w:r>
        <w:rPr>
          <w:rFonts w:hint="eastAsia"/>
          <w:b/>
          <w:bCs/>
          <w:color w:val="auto"/>
          <w:highlight w:val="none"/>
        </w:rPr>
        <w:t>服务</w:t>
      </w:r>
      <w:r>
        <w:rPr>
          <w:rFonts w:hint="eastAsia"/>
          <w:b/>
          <w:bCs/>
          <w:color w:val="auto"/>
          <w:highlight w:val="none"/>
          <w:lang w:eastAsia="zh-CN"/>
        </w:rPr>
        <w:t>内容</w:t>
      </w:r>
    </w:p>
    <w:p>
      <w:pPr>
        <w:ind w:firstLine="480"/>
        <w:rPr>
          <w:color w:val="auto"/>
          <w:highlight w:val="none"/>
        </w:rPr>
      </w:pPr>
      <w:r>
        <w:rPr>
          <w:rFonts w:hint="eastAsia"/>
          <w:color w:val="auto"/>
          <w:highlight w:val="none"/>
        </w:rPr>
        <w:t>按磋商文件要求向甲方提供。</w:t>
      </w:r>
    </w:p>
    <w:p>
      <w:pPr>
        <w:numPr>
          <w:ilvl w:val="0"/>
          <w:numId w:val="10"/>
        </w:numPr>
        <w:ind w:firstLine="0" w:firstLineChars="0"/>
        <w:rPr>
          <w:b/>
          <w:bCs/>
          <w:color w:val="auto"/>
          <w:highlight w:val="none"/>
        </w:rPr>
      </w:pPr>
      <w:r>
        <w:rPr>
          <w:rFonts w:hint="eastAsia"/>
          <w:b/>
          <w:bCs/>
          <w:color w:val="auto"/>
          <w:highlight w:val="none"/>
        </w:rPr>
        <w:t>技术、服务要求</w:t>
      </w:r>
    </w:p>
    <w:p>
      <w:pPr>
        <w:ind w:firstLine="480"/>
        <w:rPr>
          <w:color w:val="auto"/>
          <w:highlight w:val="none"/>
        </w:rPr>
      </w:pPr>
      <w:r>
        <w:rPr>
          <w:rFonts w:hint="eastAsia"/>
          <w:color w:val="auto"/>
          <w:highlight w:val="none"/>
        </w:rPr>
        <w:t>按磋商文件要求向甲方提供。</w:t>
      </w:r>
    </w:p>
    <w:p>
      <w:pPr>
        <w:numPr>
          <w:ilvl w:val="0"/>
          <w:numId w:val="10"/>
        </w:numPr>
        <w:ind w:firstLine="0" w:firstLineChars="0"/>
        <w:rPr>
          <w:b/>
          <w:bCs/>
          <w:color w:val="auto"/>
          <w:highlight w:val="none"/>
        </w:rPr>
      </w:pPr>
      <w:r>
        <w:rPr>
          <w:rFonts w:hint="eastAsia"/>
          <w:b/>
          <w:bCs/>
          <w:color w:val="auto"/>
          <w:highlight w:val="none"/>
        </w:rPr>
        <w:t>服务期限</w:t>
      </w:r>
    </w:p>
    <w:p>
      <w:pPr>
        <w:pStyle w:val="20"/>
        <w:ind w:firstLine="480"/>
        <w:rPr>
          <w:rFonts w:ascii="宋体"/>
          <w:b/>
          <w:bCs/>
          <w:color w:val="auto"/>
          <w:highlight w:val="none"/>
        </w:rPr>
      </w:pPr>
      <w:r>
        <w:rPr>
          <w:rFonts w:hint="eastAsia" w:ascii="宋体"/>
          <w:color w:val="auto"/>
          <w:highlight w:val="none"/>
        </w:rPr>
        <w:t>XXXXX。</w:t>
      </w:r>
      <w:r>
        <w:rPr>
          <w:rFonts w:hint="eastAsia" w:ascii="宋体"/>
          <w:b/>
          <w:bCs/>
          <w:color w:val="auto"/>
          <w:highlight w:val="none"/>
        </w:rPr>
        <w:t>即</w:t>
      </w:r>
      <w:r>
        <w:rPr>
          <w:rFonts w:hint="eastAsia" w:ascii="宋体"/>
          <w:b/>
          <w:bCs/>
          <w:color w:val="auto"/>
          <w:highlight w:val="none"/>
          <w:u w:val="single"/>
        </w:rPr>
        <w:t xml:space="preserve">    </w:t>
      </w:r>
      <w:r>
        <w:rPr>
          <w:rFonts w:hint="eastAsia" w:ascii="宋体"/>
          <w:b/>
          <w:bCs/>
          <w:color w:val="auto"/>
          <w:highlight w:val="none"/>
        </w:rPr>
        <w:t>年</w:t>
      </w:r>
      <w:r>
        <w:rPr>
          <w:rFonts w:hint="eastAsia" w:ascii="宋体"/>
          <w:b/>
          <w:bCs/>
          <w:color w:val="auto"/>
          <w:highlight w:val="none"/>
          <w:u w:val="single"/>
        </w:rPr>
        <w:t xml:space="preserve">    </w:t>
      </w:r>
      <w:r>
        <w:rPr>
          <w:rFonts w:hint="eastAsia" w:ascii="宋体"/>
          <w:b/>
          <w:bCs/>
          <w:color w:val="auto"/>
          <w:highlight w:val="none"/>
        </w:rPr>
        <w:t>月</w:t>
      </w:r>
      <w:r>
        <w:rPr>
          <w:rFonts w:hint="eastAsia" w:ascii="宋体"/>
          <w:b/>
          <w:bCs/>
          <w:color w:val="auto"/>
          <w:highlight w:val="none"/>
          <w:u w:val="single"/>
        </w:rPr>
        <w:t xml:space="preserve">    </w:t>
      </w:r>
      <w:r>
        <w:rPr>
          <w:rFonts w:hint="eastAsia" w:ascii="宋体"/>
          <w:b/>
          <w:bCs/>
          <w:color w:val="auto"/>
          <w:highlight w:val="none"/>
        </w:rPr>
        <w:t>日至</w:t>
      </w:r>
      <w:r>
        <w:rPr>
          <w:rFonts w:hint="eastAsia" w:ascii="宋体"/>
          <w:b/>
          <w:bCs/>
          <w:color w:val="auto"/>
          <w:highlight w:val="none"/>
          <w:u w:val="single"/>
        </w:rPr>
        <w:t xml:space="preserve">    </w:t>
      </w:r>
      <w:r>
        <w:rPr>
          <w:rFonts w:hint="eastAsia" w:ascii="宋体"/>
          <w:b/>
          <w:bCs/>
          <w:color w:val="auto"/>
          <w:highlight w:val="none"/>
        </w:rPr>
        <w:t>年</w:t>
      </w:r>
      <w:r>
        <w:rPr>
          <w:rFonts w:hint="eastAsia" w:ascii="宋体"/>
          <w:b/>
          <w:bCs/>
          <w:color w:val="auto"/>
          <w:highlight w:val="none"/>
          <w:u w:val="single"/>
        </w:rPr>
        <w:t xml:space="preserve">    </w:t>
      </w:r>
      <w:r>
        <w:rPr>
          <w:rFonts w:hint="eastAsia" w:ascii="宋体"/>
          <w:b/>
          <w:bCs/>
          <w:color w:val="auto"/>
          <w:highlight w:val="none"/>
        </w:rPr>
        <w:t>月</w:t>
      </w:r>
      <w:r>
        <w:rPr>
          <w:rFonts w:hint="eastAsia" w:ascii="宋体"/>
          <w:b/>
          <w:bCs/>
          <w:color w:val="auto"/>
          <w:highlight w:val="none"/>
          <w:u w:val="single"/>
        </w:rPr>
        <w:t xml:space="preserve">    </w:t>
      </w:r>
      <w:r>
        <w:rPr>
          <w:rFonts w:hint="eastAsia" w:ascii="宋体"/>
          <w:b/>
          <w:bCs/>
          <w:color w:val="auto"/>
          <w:highlight w:val="none"/>
        </w:rPr>
        <w:t>日。</w:t>
      </w:r>
    </w:p>
    <w:p>
      <w:pPr>
        <w:numPr>
          <w:ilvl w:val="0"/>
          <w:numId w:val="10"/>
        </w:numPr>
        <w:ind w:firstLine="0" w:firstLineChars="0"/>
        <w:rPr>
          <w:b/>
          <w:bCs/>
          <w:color w:val="auto"/>
          <w:highlight w:val="none"/>
        </w:rPr>
      </w:pPr>
      <w:r>
        <w:rPr>
          <w:rFonts w:hint="eastAsia"/>
          <w:b/>
          <w:bCs/>
          <w:color w:val="auto"/>
          <w:highlight w:val="none"/>
          <w:lang w:eastAsia="zh-CN"/>
        </w:rPr>
        <w:t>服务地点</w:t>
      </w:r>
    </w:p>
    <w:p>
      <w:pPr>
        <w:pStyle w:val="20"/>
        <w:rPr>
          <w:color w:val="auto"/>
          <w:highlight w:val="none"/>
        </w:rPr>
      </w:pPr>
      <w:r>
        <w:rPr>
          <w:rFonts w:hint="eastAsia" w:ascii="宋体"/>
          <w:color w:val="auto"/>
          <w:highlight w:val="none"/>
        </w:rPr>
        <w:t>XXXXX。</w:t>
      </w:r>
    </w:p>
    <w:p>
      <w:pPr>
        <w:numPr>
          <w:ilvl w:val="0"/>
          <w:numId w:val="10"/>
        </w:numPr>
        <w:ind w:firstLine="0" w:firstLineChars="0"/>
        <w:rPr>
          <w:b/>
          <w:bCs/>
          <w:color w:val="auto"/>
          <w:highlight w:val="none"/>
        </w:rPr>
      </w:pPr>
      <w:r>
        <w:rPr>
          <w:rFonts w:hint="eastAsia"/>
          <w:b/>
          <w:bCs/>
          <w:color w:val="auto"/>
          <w:highlight w:val="none"/>
        </w:rPr>
        <w:t>服务费用及支付方式</w:t>
      </w:r>
    </w:p>
    <w:p>
      <w:pPr>
        <w:ind w:firstLine="482"/>
        <w:rPr>
          <w:color w:val="auto"/>
          <w:highlight w:val="none"/>
        </w:rPr>
      </w:pPr>
      <w:r>
        <w:rPr>
          <w:rFonts w:hint="eastAsia"/>
          <w:b/>
          <w:bCs/>
          <w:color w:val="auto"/>
          <w:highlight w:val="none"/>
        </w:rPr>
        <w:t>1、本项目服务费为</w:t>
      </w:r>
      <w:r>
        <w:rPr>
          <w:rFonts w:hint="eastAsia"/>
          <w:b/>
          <w:bCs/>
          <w:color w:val="auto"/>
          <w:highlight w:val="none"/>
          <w:u w:val="single"/>
        </w:rPr>
        <w:t xml:space="preserve">             </w:t>
      </w:r>
      <w:r>
        <w:rPr>
          <w:rFonts w:hint="eastAsia"/>
          <w:b/>
          <w:bCs/>
          <w:color w:val="auto"/>
          <w:highlight w:val="none"/>
        </w:rPr>
        <w:t>元（大写：</w:t>
      </w:r>
      <w:r>
        <w:rPr>
          <w:rFonts w:hint="eastAsia"/>
          <w:b/>
          <w:bCs/>
          <w:color w:val="auto"/>
          <w:highlight w:val="none"/>
          <w:u w:val="single"/>
        </w:rPr>
        <w:t xml:space="preserve">           </w:t>
      </w:r>
      <w:r>
        <w:rPr>
          <w:rFonts w:hint="eastAsia"/>
          <w:b/>
          <w:bCs/>
          <w:color w:val="auto"/>
          <w:highlight w:val="none"/>
        </w:rPr>
        <w:t xml:space="preserve">  ），</w:t>
      </w:r>
      <w:r>
        <w:rPr>
          <w:rFonts w:hint="eastAsia"/>
          <w:color w:val="auto"/>
          <w:highlight w:val="none"/>
        </w:rPr>
        <w:t>包括乙方完成本项目所需的一切费用。</w:t>
      </w:r>
    </w:p>
    <w:p>
      <w:pPr>
        <w:ind w:firstLine="482"/>
        <w:rPr>
          <w:b/>
          <w:bCs/>
          <w:color w:val="auto"/>
          <w:highlight w:val="none"/>
          <w:u w:val="single"/>
        </w:rPr>
      </w:pPr>
      <w:r>
        <w:rPr>
          <w:rFonts w:hint="eastAsia"/>
          <w:b/>
          <w:bCs/>
          <w:color w:val="auto"/>
          <w:highlight w:val="none"/>
        </w:rPr>
        <w:t>2、服务费支付方式：XXXXX.</w:t>
      </w:r>
    </w:p>
    <w:p>
      <w:pPr>
        <w:numPr>
          <w:ilvl w:val="0"/>
          <w:numId w:val="10"/>
        </w:numPr>
        <w:ind w:firstLine="0" w:firstLineChars="0"/>
        <w:rPr>
          <w:b/>
          <w:bCs/>
          <w:color w:val="auto"/>
          <w:highlight w:val="none"/>
        </w:rPr>
      </w:pPr>
      <w:r>
        <w:rPr>
          <w:rFonts w:hint="eastAsia"/>
          <w:b/>
          <w:bCs/>
          <w:color w:val="auto"/>
          <w:highlight w:val="none"/>
        </w:rPr>
        <w:t>验收</w:t>
      </w:r>
    </w:p>
    <w:p>
      <w:pPr>
        <w:bidi w:val="0"/>
        <w:rPr>
          <w:color w:val="auto"/>
          <w:highlight w:val="none"/>
        </w:rPr>
      </w:pPr>
      <w:r>
        <w:rPr>
          <w:rFonts w:hint="eastAsia"/>
          <w:color w:val="auto"/>
          <w:highlight w:val="none"/>
        </w:rPr>
        <w:t>成交供应商履行采购合同约定义务后，为保证采购质量，采购人可参照政府采购相关法律法规以及</w:t>
      </w:r>
      <w:r>
        <w:rPr>
          <w:rFonts w:hint="eastAsia"/>
          <w:color w:val="auto"/>
          <w:highlight w:val="none"/>
          <w:lang w:val="en-US" w:eastAsia="zh-CN"/>
        </w:rPr>
        <w:t>《财政部关于进一步加强政府采购需求和履约验收管理的指导意见》（财库〔2016〕205号）</w:t>
      </w:r>
      <w:r>
        <w:rPr>
          <w:rFonts w:hint="eastAsia"/>
          <w:color w:val="auto"/>
          <w:highlight w:val="none"/>
        </w:rPr>
        <w:t>和相关法律法规的要求进行验收。</w:t>
      </w:r>
    </w:p>
    <w:p>
      <w:pPr>
        <w:numPr>
          <w:ilvl w:val="0"/>
          <w:numId w:val="10"/>
        </w:numPr>
        <w:ind w:firstLine="0" w:firstLineChars="0"/>
        <w:rPr>
          <w:b/>
          <w:bCs/>
          <w:color w:val="auto"/>
          <w:highlight w:val="none"/>
        </w:rPr>
      </w:pPr>
      <w:r>
        <w:rPr>
          <w:rFonts w:hint="eastAsia"/>
          <w:b/>
          <w:bCs/>
          <w:color w:val="auto"/>
          <w:highlight w:val="none"/>
        </w:rPr>
        <w:t>知识产权</w:t>
      </w:r>
    </w:p>
    <w:p>
      <w:pPr>
        <w:ind w:firstLine="480"/>
        <w:rPr>
          <w:color w:val="auto"/>
          <w:highlight w:val="none"/>
        </w:rPr>
      </w:pPr>
      <w:r>
        <w:rPr>
          <w:rFonts w:hint="eastAsia"/>
          <w:color w:val="auto"/>
          <w:highlight w:val="none"/>
        </w:rPr>
        <w:t>乙方应保证所提供的服务或其任何一部分均不会侵犯任何第三方的专利权、商标权或著作权。</w:t>
      </w:r>
    </w:p>
    <w:p>
      <w:pPr>
        <w:numPr>
          <w:ilvl w:val="0"/>
          <w:numId w:val="10"/>
        </w:numPr>
        <w:ind w:firstLine="0" w:firstLineChars="0"/>
        <w:rPr>
          <w:b/>
          <w:bCs/>
          <w:color w:val="auto"/>
          <w:highlight w:val="none"/>
        </w:rPr>
      </w:pPr>
      <w:r>
        <w:rPr>
          <w:rFonts w:hint="eastAsia"/>
          <w:b/>
          <w:bCs/>
          <w:color w:val="auto"/>
          <w:highlight w:val="none"/>
        </w:rPr>
        <w:t>无产权瑕疵条款</w:t>
      </w:r>
    </w:p>
    <w:p>
      <w:pPr>
        <w:ind w:firstLine="480"/>
        <w:rPr>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numPr>
          <w:ilvl w:val="0"/>
          <w:numId w:val="10"/>
        </w:numPr>
        <w:ind w:firstLine="0" w:firstLineChars="0"/>
        <w:rPr>
          <w:b/>
          <w:bCs/>
          <w:color w:val="auto"/>
          <w:highlight w:val="none"/>
        </w:rPr>
      </w:pPr>
      <w:r>
        <w:rPr>
          <w:rFonts w:hint="eastAsia"/>
          <w:b/>
          <w:bCs/>
          <w:color w:val="auto"/>
          <w:highlight w:val="none"/>
        </w:rPr>
        <w:t>甲方的权利和义务</w:t>
      </w:r>
    </w:p>
    <w:p>
      <w:pPr>
        <w:numPr>
          <w:ilvl w:val="0"/>
          <w:numId w:val="11"/>
        </w:numPr>
        <w:ind w:firstLine="480"/>
        <w:rPr>
          <w:color w:val="auto"/>
          <w:highlight w:val="none"/>
        </w:rPr>
      </w:pPr>
      <w:r>
        <w:rPr>
          <w:rFonts w:hint="eastAsia"/>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1"/>
        </w:numPr>
        <w:ind w:firstLine="480"/>
        <w:rPr>
          <w:color w:val="auto"/>
          <w:highlight w:val="none"/>
        </w:rPr>
      </w:pPr>
      <w:r>
        <w:rPr>
          <w:color w:val="auto"/>
          <w:highlight w:val="none"/>
        </w:rPr>
        <w:t>负责检查监督乙方管理工作的实施及制度的执行情况。</w:t>
      </w:r>
    </w:p>
    <w:p>
      <w:pPr>
        <w:numPr>
          <w:ilvl w:val="0"/>
          <w:numId w:val="11"/>
        </w:numPr>
        <w:ind w:firstLine="480"/>
        <w:rPr>
          <w:color w:val="auto"/>
          <w:highlight w:val="none"/>
        </w:rPr>
      </w:pPr>
      <w:r>
        <w:rPr>
          <w:color w:val="auto"/>
          <w:highlight w:val="none"/>
        </w:rPr>
        <w:t>根据本合同规定，按时向乙方支付应付服务费用。</w:t>
      </w:r>
    </w:p>
    <w:p>
      <w:pPr>
        <w:numPr>
          <w:ilvl w:val="0"/>
          <w:numId w:val="11"/>
        </w:numPr>
        <w:ind w:firstLine="480"/>
        <w:rPr>
          <w:color w:val="auto"/>
          <w:highlight w:val="none"/>
        </w:rPr>
      </w:pPr>
      <w:r>
        <w:rPr>
          <w:color w:val="auto"/>
          <w:highlight w:val="none"/>
        </w:rPr>
        <w:t>国家法律、法规所规定由甲方承担的其它责任。</w:t>
      </w:r>
    </w:p>
    <w:p>
      <w:pPr>
        <w:numPr>
          <w:ilvl w:val="0"/>
          <w:numId w:val="10"/>
        </w:numPr>
        <w:ind w:firstLine="0" w:firstLineChars="0"/>
        <w:rPr>
          <w:b/>
          <w:bCs/>
          <w:color w:val="auto"/>
          <w:highlight w:val="none"/>
        </w:rPr>
      </w:pPr>
      <w:r>
        <w:rPr>
          <w:rFonts w:hint="eastAsia"/>
          <w:b/>
          <w:bCs/>
          <w:color w:val="auto"/>
          <w:highlight w:val="none"/>
        </w:rPr>
        <w:t>乙方的权利和义务</w:t>
      </w:r>
    </w:p>
    <w:p>
      <w:pPr>
        <w:numPr>
          <w:ilvl w:val="0"/>
          <w:numId w:val="12"/>
        </w:numPr>
        <w:ind w:firstLine="480"/>
        <w:rPr>
          <w:color w:val="auto"/>
          <w:highlight w:val="none"/>
        </w:rPr>
      </w:pPr>
      <w:r>
        <w:rPr>
          <w:color w:val="auto"/>
          <w:highlight w:val="none"/>
        </w:rPr>
        <w:t>对本合同规定的委托服务范围内的项目享有管理权及服务义务。</w:t>
      </w:r>
    </w:p>
    <w:p>
      <w:pPr>
        <w:numPr>
          <w:ilvl w:val="0"/>
          <w:numId w:val="12"/>
        </w:numPr>
        <w:ind w:firstLine="480"/>
        <w:rPr>
          <w:color w:val="auto"/>
          <w:highlight w:val="none"/>
        </w:rPr>
      </w:pPr>
      <w:r>
        <w:rPr>
          <w:color w:val="auto"/>
          <w:highlight w:val="none"/>
        </w:rPr>
        <w:t>根据本合同的规定向甲方收取相关服务费用，并有权在本项目管理范围内管理及合理使用。</w:t>
      </w:r>
    </w:p>
    <w:p>
      <w:pPr>
        <w:numPr>
          <w:ilvl w:val="0"/>
          <w:numId w:val="12"/>
        </w:numPr>
        <w:ind w:firstLine="480"/>
        <w:rPr>
          <w:color w:val="auto"/>
          <w:highlight w:val="none"/>
        </w:rPr>
      </w:pPr>
      <w:r>
        <w:rPr>
          <w:color w:val="auto"/>
          <w:highlight w:val="none"/>
        </w:rPr>
        <w:t>及时向甲方通告本项目服务范围内有关服务的重大事项，及时配合处理投诉。</w:t>
      </w:r>
    </w:p>
    <w:p>
      <w:pPr>
        <w:numPr>
          <w:ilvl w:val="0"/>
          <w:numId w:val="12"/>
        </w:numPr>
        <w:ind w:firstLine="480"/>
        <w:rPr>
          <w:color w:val="auto"/>
          <w:highlight w:val="none"/>
        </w:rPr>
      </w:pPr>
      <w:r>
        <w:rPr>
          <w:color w:val="auto"/>
          <w:highlight w:val="none"/>
        </w:rPr>
        <w:t>接受项目行业管理部门及政府有关部门的指导，接受甲方的监督。</w:t>
      </w:r>
    </w:p>
    <w:p>
      <w:pPr>
        <w:numPr>
          <w:ilvl w:val="0"/>
          <w:numId w:val="12"/>
        </w:numPr>
        <w:ind w:firstLine="480"/>
        <w:rPr>
          <w:color w:val="auto"/>
          <w:highlight w:val="none"/>
        </w:rPr>
      </w:pPr>
      <w:r>
        <w:rPr>
          <w:color w:val="auto"/>
          <w:highlight w:val="none"/>
        </w:rPr>
        <w:t>国家法律、法规所规定由乙方承担的其它责任。</w:t>
      </w:r>
    </w:p>
    <w:p>
      <w:pPr>
        <w:numPr>
          <w:ilvl w:val="0"/>
          <w:numId w:val="10"/>
        </w:numPr>
        <w:ind w:firstLine="0" w:firstLineChars="0"/>
        <w:rPr>
          <w:b/>
          <w:bCs/>
          <w:color w:val="auto"/>
          <w:highlight w:val="none"/>
        </w:rPr>
      </w:pPr>
      <w:r>
        <w:rPr>
          <w:rFonts w:hint="eastAsia"/>
          <w:b/>
          <w:bCs/>
          <w:color w:val="auto"/>
          <w:highlight w:val="none"/>
        </w:rPr>
        <w:t>违约责任</w:t>
      </w:r>
    </w:p>
    <w:p>
      <w:pPr>
        <w:ind w:firstLine="480"/>
        <w:rPr>
          <w:color w:val="auto"/>
          <w:highlight w:val="none"/>
        </w:rPr>
      </w:pPr>
      <w:r>
        <w:rPr>
          <w:rFonts w:hint="eastAsia"/>
          <w:color w:val="auto"/>
          <w:highlight w:val="none"/>
        </w:rPr>
        <w:t>1、甲乙双方必须遵守本合同并执行合同中的各项规定，保证本合同的正常履行。</w:t>
      </w:r>
    </w:p>
    <w:p>
      <w:pPr>
        <w:ind w:firstLine="480"/>
        <w:rPr>
          <w:color w:val="auto"/>
          <w:highlight w:val="none"/>
        </w:rPr>
      </w:pPr>
      <w:r>
        <w:rPr>
          <w:rFonts w:hint="eastAsia"/>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10"/>
        </w:numPr>
        <w:ind w:firstLine="0" w:firstLineChars="0"/>
        <w:rPr>
          <w:b/>
          <w:bCs/>
          <w:color w:val="auto"/>
          <w:highlight w:val="none"/>
        </w:rPr>
      </w:pPr>
      <w:bookmarkStart w:id="177" w:name="_Toc247334846"/>
      <w:bookmarkStart w:id="178" w:name="_Toc185395254"/>
      <w:bookmarkStart w:id="179" w:name="_Toc232492933"/>
      <w:bookmarkStart w:id="180" w:name="_Toc241833908"/>
      <w:bookmarkStart w:id="181" w:name="_Toc238984980"/>
      <w:bookmarkStart w:id="182" w:name="_Toc225670756"/>
      <w:bookmarkStart w:id="183" w:name="_Toc212019599"/>
      <w:bookmarkStart w:id="184" w:name="_Toc237145411"/>
      <w:bookmarkStart w:id="185" w:name="_Toc251768867"/>
      <w:bookmarkStart w:id="186" w:name="_Toc211854454"/>
      <w:bookmarkStart w:id="187" w:name="_Toc239233919"/>
      <w:bookmarkStart w:id="188" w:name="_Toc225244857"/>
      <w:bookmarkStart w:id="189" w:name="_Toc239568423"/>
      <w:bookmarkStart w:id="190" w:name="_Toc286993792"/>
      <w:bookmarkStart w:id="191" w:name="_Toc211911353"/>
      <w:bookmarkStart w:id="192" w:name="_Toc225654649"/>
      <w:r>
        <w:rPr>
          <w:rFonts w:hint="eastAsia"/>
          <w:b/>
          <w:bCs/>
          <w:color w:val="auto"/>
          <w:highlight w:val="none"/>
        </w:rPr>
        <w:t>不可抗力事件处理</w:t>
      </w:r>
    </w:p>
    <w:p>
      <w:pPr>
        <w:numPr>
          <w:ilvl w:val="0"/>
          <w:numId w:val="13"/>
        </w:numPr>
        <w:ind w:firstLine="480"/>
        <w:rPr>
          <w:color w:val="auto"/>
          <w:highlight w:val="none"/>
        </w:rPr>
      </w:pPr>
      <w:r>
        <w:rPr>
          <w:color w:val="auto"/>
          <w:highlight w:val="none"/>
        </w:rPr>
        <w:t>在合同有效期内，任何一方因不可抗力事件导致不能履行合同，则合同履行期可延长，其延长期与不可抗力影响期相同。</w:t>
      </w:r>
    </w:p>
    <w:p>
      <w:pPr>
        <w:numPr>
          <w:ilvl w:val="0"/>
          <w:numId w:val="13"/>
        </w:numPr>
        <w:ind w:firstLine="480"/>
        <w:rPr>
          <w:color w:val="auto"/>
          <w:highlight w:val="none"/>
        </w:rPr>
      </w:pPr>
      <w:r>
        <w:rPr>
          <w:color w:val="auto"/>
          <w:highlight w:val="none"/>
        </w:rPr>
        <w:t>不可抗力事件发生后，应立即通知对方，并寄送有关权威机构出具的证明。</w:t>
      </w:r>
    </w:p>
    <w:p>
      <w:pPr>
        <w:numPr>
          <w:ilvl w:val="0"/>
          <w:numId w:val="13"/>
        </w:numPr>
        <w:ind w:firstLine="480"/>
        <w:rPr>
          <w:color w:val="auto"/>
          <w:highlight w:val="none"/>
        </w:rPr>
      </w:pPr>
      <w:r>
        <w:rPr>
          <w:color w:val="auto"/>
          <w:highlight w:val="none"/>
        </w:rPr>
        <w:t>不可抗力事件延续</w:t>
      </w:r>
      <w:r>
        <w:rPr>
          <w:rFonts w:hint="eastAsia"/>
          <w:color w:val="auto"/>
          <w:highlight w:val="none"/>
          <w:u w:val="single"/>
        </w:rPr>
        <w:t xml:space="preserve">   </w:t>
      </w:r>
      <w:r>
        <w:rPr>
          <w:color w:val="auto"/>
          <w:highlight w:val="none"/>
        </w:rPr>
        <w:t>天以上，双方应通过友好协商，确定是否继续履行合同。</w:t>
      </w:r>
    </w:p>
    <w:p>
      <w:pPr>
        <w:numPr>
          <w:ilvl w:val="0"/>
          <w:numId w:val="10"/>
        </w:numPr>
        <w:ind w:firstLine="0" w:firstLineChars="0"/>
        <w:rPr>
          <w:b/>
          <w:bCs/>
          <w:color w:val="auto"/>
          <w:highlight w:val="none"/>
        </w:rPr>
      </w:pPr>
      <w:r>
        <w:rPr>
          <w:rFonts w:hint="eastAsia"/>
          <w:b/>
          <w:bCs/>
          <w:color w:val="auto"/>
          <w:highlight w:val="none"/>
        </w:rPr>
        <w:t>解决合同纠纷的方式</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numPr>
          <w:ilvl w:val="0"/>
          <w:numId w:val="14"/>
        </w:numPr>
        <w:ind w:firstLine="480"/>
        <w:rPr>
          <w:color w:val="auto"/>
          <w:highlight w:val="none"/>
        </w:rPr>
      </w:pPr>
      <w:bookmarkStart w:id="193" w:name="_Toc238984981"/>
      <w:bookmarkStart w:id="194" w:name="_Toc286993793"/>
      <w:bookmarkStart w:id="195" w:name="_Toc225654650"/>
      <w:bookmarkStart w:id="196" w:name="_Toc237145412"/>
      <w:bookmarkStart w:id="197" w:name="_Toc251768868"/>
      <w:bookmarkStart w:id="198" w:name="_Toc185395255"/>
      <w:bookmarkStart w:id="199" w:name="_Toc225244858"/>
      <w:bookmarkStart w:id="200" w:name="_Toc283019219"/>
      <w:bookmarkStart w:id="201" w:name="_Toc239568424"/>
      <w:bookmarkStart w:id="202" w:name="_Toc247334847"/>
      <w:bookmarkStart w:id="203" w:name="_Toc282696231"/>
      <w:bookmarkStart w:id="204" w:name="_Toc211854455"/>
      <w:bookmarkStart w:id="205" w:name="_Toc211911354"/>
      <w:bookmarkStart w:id="206" w:name="_Toc241833909"/>
      <w:bookmarkStart w:id="207" w:name="_Toc232492934"/>
      <w:bookmarkStart w:id="208" w:name="_Toc239233920"/>
      <w:bookmarkStart w:id="209" w:name="_Toc225670757"/>
      <w:bookmarkStart w:id="210" w:name="_Toc212019600"/>
      <w:r>
        <w:rPr>
          <w:color w:val="auto"/>
          <w:highlight w:val="none"/>
        </w:rPr>
        <w:t>在执行本合同中发生的或与本合同有关的争端，双方应通过友好协商解决，经协商在</w:t>
      </w:r>
      <w:r>
        <w:rPr>
          <w:color w:val="auto"/>
          <w:highlight w:val="none"/>
          <w:u w:val="single"/>
        </w:rPr>
        <w:t xml:space="preserve"> </w:t>
      </w:r>
      <w:r>
        <w:rPr>
          <w:color w:val="auto"/>
          <w:highlight w:val="none"/>
          <w:u w:val="single"/>
        </w:rPr>
        <w:tab/>
      </w:r>
      <w:r>
        <w:rPr>
          <w:rFonts w:hint="eastAsia"/>
          <w:color w:val="auto"/>
          <w:highlight w:val="none"/>
          <w:u w:val="single"/>
        </w:rPr>
        <w:t xml:space="preserve">  </w:t>
      </w:r>
      <w:r>
        <w:rPr>
          <w:color w:val="auto"/>
          <w:highlight w:val="none"/>
        </w:rPr>
        <w:t>天内不能达成协议时，应提交</w:t>
      </w:r>
      <w:r>
        <w:rPr>
          <w:rFonts w:hint="eastAsia"/>
          <w:color w:val="auto"/>
          <w:highlight w:val="none"/>
          <w:u w:val="single"/>
        </w:rPr>
        <w:t xml:space="preserve">    </w:t>
      </w:r>
      <w:r>
        <w:rPr>
          <w:color w:val="auto"/>
          <w:highlight w:val="none"/>
        </w:rPr>
        <w:t>仲裁委员会仲裁。</w:t>
      </w:r>
    </w:p>
    <w:p>
      <w:pPr>
        <w:numPr>
          <w:ilvl w:val="0"/>
          <w:numId w:val="14"/>
        </w:numPr>
        <w:ind w:firstLine="480"/>
        <w:rPr>
          <w:color w:val="auto"/>
          <w:highlight w:val="none"/>
        </w:rPr>
      </w:pPr>
      <w:r>
        <w:rPr>
          <w:color w:val="auto"/>
          <w:highlight w:val="none"/>
        </w:rPr>
        <w:t>仲裁裁决应为最终决定，并对双方具有约束力。</w:t>
      </w:r>
    </w:p>
    <w:p>
      <w:pPr>
        <w:numPr>
          <w:ilvl w:val="0"/>
          <w:numId w:val="14"/>
        </w:numPr>
        <w:ind w:firstLine="480"/>
        <w:rPr>
          <w:color w:val="auto"/>
          <w:highlight w:val="none"/>
        </w:rPr>
      </w:pPr>
      <w:r>
        <w:rPr>
          <w:color w:val="auto"/>
          <w:highlight w:val="none"/>
        </w:rPr>
        <w:t>除另有裁决外，仲裁费应由败诉方负担。</w:t>
      </w:r>
      <w:r>
        <w:rPr>
          <w:rFonts w:hint="eastAsia"/>
          <w:color w:val="auto"/>
          <w:highlight w:val="none"/>
        </w:rPr>
        <w:t xml:space="preserve"> </w:t>
      </w:r>
    </w:p>
    <w:p>
      <w:pPr>
        <w:ind w:firstLine="480"/>
        <w:rPr>
          <w:color w:val="auto"/>
          <w:highlight w:val="none"/>
        </w:rPr>
      </w:pPr>
      <w:r>
        <w:rPr>
          <w:color w:val="auto"/>
          <w:highlight w:val="none"/>
        </w:rPr>
        <w:t>4、在仲裁期间，除正在进行仲裁部分外，合同其他部分继续执行。</w:t>
      </w:r>
    </w:p>
    <w:p>
      <w:pPr>
        <w:numPr>
          <w:ilvl w:val="0"/>
          <w:numId w:val="10"/>
        </w:numPr>
        <w:ind w:firstLine="0" w:firstLineChars="0"/>
        <w:rPr>
          <w:b/>
          <w:bCs/>
          <w:color w:val="auto"/>
          <w:highlight w:val="none"/>
        </w:rPr>
      </w:pPr>
      <w:r>
        <w:rPr>
          <w:rFonts w:hint="eastAsia"/>
          <w:b/>
          <w:bCs/>
          <w:color w:val="auto"/>
          <w:highlight w:val="none"/>
        </w:rPr>
        <w:t>合同</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b/>
          <w:bCs/>
          <w:color w:val="auto"/>
          <w:highlight w:val="none"/>
        </w:rPr>
        <w:t>生效及其他</w:t>
      </w:r>
    </w:p>
    <w:p>
      <w:pPr>
        <w:ind w:firstLine="480"/>
        <w:rPr>
          <w:color w:val="auto"/>
          <w:highlight w:val="none"/>
        </w:rPr>
      </w:pPr>
      <w:r>
        <w:rPr>
          <w:rFonts w:hint="eastAsia"/>
          <w:color w:val="auto"/>
          <w:highlight w:val="none"/>
        </w:rPr>
        <w:t>1、合同经双方法定代表人或授权委托代理人签字并加盖单位公章后生效。</w:t>
      </w:r>
    </w:p>
    <w:p>
      <w:pPr>
        <w:ind w:firstLine="480"/>
        <w:rPr>
          <w:color w:val="auto"/>
          <w:highlight w:val="none"/>
        </w:rPr>
      </w:pPr>
      <w:r>
        <w:rPr>
          <w:rFonts w:hint="eastAsia"/>
          <w:color w:val="auto"/>
          <w:highlight w:val="none"/>
        </w:rPr>
        <w:t>2、本合同一式</w:t>
      </w:r>
      <w:r>
        <w:rPr>
          <w:rFonts w:hint="eastAsia"/>
          <w:color w:val="auto"/>
          <w:highlight w:val="none"/>
          <w:u w:val="single"/>
        </w:rPr>
        <w:t xml:space="preserve">   </w:t>
      </w:r>
      <w:r>
        <w:rPr>
          <w:rFonts w:hint="eastAsia"/>
          <w:color w:val="auto"/>
          <w:highlight w:val="none"/>
        </w:rPr>
        <w:t>份，自双方签章之日起生效。甲方</w:t>
      </w:r>
      <w:r>
        <w:rPr>
          <w:rFonts w:hint="eastAsia"/>
          <w:color w:val="auto"/>
          <w:highlight w:val="none"/>
          <w:u w:val="single"/>
        </w:rPr>
        <w:t xml:space="preserve">   </w:t>
      </w:r>
      <w:r>
        <w:rPr>
          <w:rFonts w:hint="eastAsia"/>
          <w:color w:val="auto"/>
          <w:highlight w:val="none"/>
        </w:rPr>
        <w:t>份，乙方</w:t>
      </w:r>
      <w:r>
        <w:rPr>
          <w:rFonts w:hint="eastAsia"/>
          <w:color w:val="auto"/>
          <w:highlight w:val="none"/>
          <w:u w:val="single"/>
        </w:rPr>
        <w:t xml:space="preserve">   </w:t>
      </w:r>
      <w:r>
        <w:rPr>
          <w:rFonts w:hint="eastAsia"/>
          <w:color w:val="auto"/>
          <w:highlight w:val="none"/>
        </w:rPr>
        <w:t>份，具有同等法律效力。</w:t>
      </w:r>
    </w:p>
    <w:p>
      <w:pPr>
        <w:numPr>
          <w:ilvl w:val="0"/>
          <w:numId w:val="10"/>
        </w:numPr>
        <w:ind w:firstLine="0" w:firstLineChars="0"/>
        <w:rPr>
          <w:b/>
          <w:bCs/>
          <w:color w:val="auto"/>
          <w:highlight w:val="none"/>
        </w:rPr>
      </w:pPr>
      <w:r>
        <w:rPr>
          <w:rFonts w:hint="eastAsia"/>
          <w:b/>
          <w:bCs/>
          <w:color w:val="auto"/>
          <w:highlight w:val="none"/>
        </w:rPr>
        <w:t>附件</w:t>
      </w:r>
    </w:p>
    <w:p>
      <w:pPr>
        <w:ind w:firstLine="480"/>
        <w:rPr>
          <w:color w:val="auto"/>
          <w:highlight w:val="none"/>
        </w:rPr>
      </w:pPr>
      <w:r>
        <w:rPr>
          <w:rFonts w:hint="eastAsia"/>
          <w:color w:val="auto"/>
          <w:highlight w:val="none"/>
        </w:rPr>
        <w:t>1、磋商文件</w:t>
      </w:r>
    </w:p>
    <w:p>
      <w:pPr>
        <w:ind w:firstLine="480"/>
        <w:rPr>
          <w:color w:val="auto"/>
          <w:highlight w:val="none"/>
        </w:rPr>
      </w:pPr>
      <w:r>
        <w:rPr>
          <w:rFonts w:hint="eastAsia"/>
          <w:color w:val="auto"/>
          <w:highlight w:val="none"/>
        </w:rPr>
        <w:t>2、项目修改澄清文件（如有）</w:t>
      </w:r>
    </w:p>
    <w:p>
      <w:pPr>
        <w:ind w:firstLine="480"/>
        <w:rPr>
          <w:color w:val="auto"/>
          <w:highlight w:val="none"/>
        </w:rPr>
      </w:pPr>
      <w:r>
        <w:rPr>
          <w:rFonts w:hint="eastAsia"/>
          <w:color w:val="auto"/>
          <w:highlight w:val="none"/>
        </w:rPr>
        <w:t>3、响应文件</w:t>
      </w:r>
    </w:p>
    <w:p>
      <w:pPr>
        <w:ind w:firstLine="480"/>
        <w:rPr>
          <w:color w:val="auto"/>
          <w:highlight w:val="none"/>
        </w:rPr>
      </w:pPr>
      <w:r>
        <w:rPr>
          <w:rFonts w:hint="eastAsia"/>
          <w:color w:val="auto"/>
          <w:highlight w:val="none"/>
        </w:rPr>
        <w:t>4、成交通知书</w:t>
      </w:r>
    </w:p>
    <w:p>
      <w:pPr>
        <w:ind w:firstLine="480"/>
        <w:rPr>
          <w:color w:val="auto"/>
          <w:highlight w:val="none"/>
        </w:rPr>
      </w:pPr>
      <w:r>
        <w:rPr>
          <w:rFonts w:hint="eastAsia"/>
          <w:color w:val="auto"/>
          <w:highlight w:val="none"/>
        </w:rPr>
        <w:t>5、其他</w:t>
      </w:r>
    </w:p>
    <w:p>
      <w:pPr>
        <w:ind w:firstLine="480"/>
        <w:rPr>
          <w:color w:val="auto"/>
          <w:highlight w:val="none"/>
        </w:rPr>
      </w:pPr>
      <w:r>
        <w:rPr>
          <w:rFonts w:hint="eastAsia"/>
          <w:color w:val="auto"/>
          <w:highlight w:val="none"/>
        </w:rPr>
        <w:t>（以下无正文）</w:t>
      </w:r>
    </w:p>
    <w:p>
      <w:pPr>
        <w:pStyle w:val="2"/>
        <w:rPr>
          <w:color w:val="auto"/>
          <w:highlight w:val="none"/>
        </w:rPr>
      </w:pPr>
    </w:p>
    <w:p>
      <w:pPr>
        <w:ind w:firstLine="0" w:firstLineChars="0"/>
        <w:rPr>
          <w:color w:val="auto"/>
          <w:highlight w:val="none"/>
        </w:rPr>
      </w:pPr>
      <w:r>
        <w:rPr>
          <w:rFonts w:hint="eastAsia"/>
          <w:color w:val="auto"/>
          <w:highlight w:val="none"/>
        </w:rPr>
        <w:t xml:space="preserve">甲    方：     （盖章）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 xml:space="preserve">  乙   方：     （盖章）</w:t>
      </w:r>
    </w:p>
    <w:p>
      <w:pPr>
        <w:ind w:firstLine="0" w:firstLineChars="0"/>
        <w:rPr>
          <w:color w:val="auto"/>
          <w:highlight w:val="none"/>
        </w:rPr>
      </w:pPr>
      <w:r>
        <w:rPr>
          <w:rFonts w:hint="eastAsia"/>
          <w:color w:val="auto"/>
          <w:highlight w:val="none"/>
        </w:rPr>
        <w:t>法定代表人/单位负责人（授权代表）：  法定代表人/单位负责人（授权代表）：</w:t>
      </w:r>
    </w:p>
    <w:p>
      <w:pPr>
        <w:ind w:firstLine="0" w:firstLineChars="0"/>
        <w:rPr>
          <w:color w:val="auto"/>
          <w:highlight w:val="none"/>
        </w:rPr>
      </w:pPr>
      <w:r>
        <w:rPr>
          <w:rFonts w:hint="eastAsia"/>
          <w:color w:val="auto"/>
          <w:highlight w:val="none"/>
        </w:rPr>
        <w:t xml:space="preserve">地    址：                           地    址： </w:t>
      </w:r>
    </w:p>
    <w:p>
      <w:pPr>
        <w:ind w:firstLine="0" w:firstLineChars="0"/>
        <w:rPr>
          <w:color w:val="auto"/>
          <w:highlight w:val="none"/>
        </w:rPr>
      </w:pPr>
      <w:r>
        <w:rPr>
          <w:rFonts w:hint="eastAsia"/>
          <w:color w:val="auto"/>
          <w:highlight w:val="none"/>
        </w:rPr>
        <w:t>开户银行：                           开户银行：</w:t>
      </w:r>
    </w:p>
    <w:p>
      <w:pPr>
        <w:ind w:firstLine="0" w:firstLineChars="0"/>
        <w:rPr>
          <w:color w:val="auto"/>
          <w:highlight w:val="none"/>
        </w:rPr>
      </w:pPr>
      <w:r>
        <w:rPr>
          <w:rFonts w:hint="eastAsia"/>
          <w:color w:val="auto"/>
          <w:highlight w:val="none"/>
        </w:rPr>
        <w:t>账    号：                           账    号：</w:t>
      </w:r>
    </w:p>
    <w:p>
      <w:pPr>
        <w:ind w:firstLine="0" w:firstLineChars="0"/>
        <w:rPr>
          <w:color w:val="auto"/>
          <w:highlight w:val="none"/>
        </w:rPr>
      </w:pPr>
      <w:r>
        <w:rPr>
          <w:rFonts w:hint="eastAsia"/>
          <w:color w:val="auto"/>
          <w:highlight w:val="none"/>
        </w:rPr>
        <w:t>电    话：                           电    话：</w:t>
      </w:r>
    </w:p>
    <w:p>
      <w:pPr>
        <w:ind w:firstLine="0" w:firstLineChars="0"/>
        <w:rPr>
          <w:color w:val="auto"/>
          <w:highlight w:val="none"/>
        </w:rPr>
      </w:pPr>
      <w:r>
        <w:rPr>
          <w:rFonts w:hint="eastAsia"/>
          <w:color w:val="auto"/>
          <w:highlight w:val="none"/>
        </w:rPr>
        <w:t>传    真：                           传    真：</w:t>
      </w:r>
    </w:p>
    <w:p>
      <w:pPr>
        <w:ind w:firstLine="0" w:firstLineChars="0"/>
        <w:rPr>
          <w:color w:val="auto"/>
          <w:highlight w:val="none"/>
        </w:rPr>
      </w:pPr>
      <w:r>
        <w:rPr>
          <w:rFonts w:hint="eastAsia"/>
          <w:color w:val="auto"/>
          <w:highlight w:val="none"/>
        </w:rPr>
        <w:t xml:space="preserve">签约日期：XX年XX月XX日 </w:t>
      </w:r>
      <w:r>
        <w:rPr>
          <w:rFonts w:hint="eastAsia"/>
          <w:color w:val="auto"/>
          <w:highlight w:val="none"/>
        </w:rPr>
        <w:tab/>
      </w:r>
      <w:r>
        <w:rPr>
          <w:rFonts w:hint="eastAsia"/>
          <w:color w:val="auto"/>
          <w:highlight w:val="none"/>
        </w:rPr>
        <w:tab/>
      </w:r>
      <w:r>
        <w:rPr>
          <w:rFonts w:hint="eastAsia"/>
          <w:color w:val="auto"/>
          <w:highlight w:val="none"/>
        </w:rPr>
        <w:t xml:space="preserve">      签约日期：XX年XX月XX日</w:t>
      </w:r>
    </w:p>
    <w:p>
      <w:pPr>
        <w:ind w:firstLine="482"/>
        <w:rPr>
          <w:b/>
          <w:bCs/>
          <w:color w:val="auto"/>
          <w:highlight w:val="none"/>
        </w:rPr>
      </w:pPr>
    </w:p>
    <w:p>
      <w:pPr>
        <w:ind w:firstLine="482"/>
        <w:rPr>
          <w:b/>
          <w:bCs/>
          <w:color w:val="auto"/>
          <w:highlight w:val="none"/>
        </w:rPr>
      </w:pPr>
      <w:r>
        <w:rPr>
          <w:rFonts w:hint="eastAsia"/>
          <w:b/>
          <w:bCs/>
          <w:color w:val="auto"/>
          <w:highlight w:val="none"/>
        </w:rPr>
        <w:t>注：具体合同内容以成交后双方约定内容为准，双方签字盖章后有效。</w:t>
      </w:r>
    </w:p>
    <w:p>
      <w:pPr>
        <w:widowControl w:val="0"/>
        <w:adjustRightInd w:val="0"/>
        <w:snapToGrid w:val="0"/>
        <w:ind w:firstLine="482"/>
        <w:rPr>
          <w:rFonts w:hint="eastAsia"/>
          <w:lang w:val="en-US" w:eastAsia="zh-CN"/>
        </w:rPr>
      </w:pPr>
    </w:p>
    <w:sectPr>
      <w:pgSz w:w="11906" w:h="16838"/>
      <w:pgMar w:top="1020" w:right="1746" w:bottom="1020" w:left="1746" w:header="851" w:footer="992" w:gutter="0"/>
      <w:pgBorders>
        <w:top w:val="none" w:sz="0" w:space="0"/>
        <w:left w:val="none" w:sz="0" w:space="0"/>
        <w:bottom w:val="none" w:sz="0" w:space="0"/>
        <w:right w:val="none" w:sz="0" w:space="0"/>
      </w:pgBorders>
      <w:pgNumType w:fmt="decimal"/>
      <w:cols w:space="720" w:num="1"/>
      <w:docGrid w:type="lines" w:linePitch="4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楷体à.ā">
    <w:altName w:val="宋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W1)">
    <w:altName w:val="Times New Roman"/>
    <w:panose1 w:val="00000000000000000000"/>
    <w:charset w:val="00"/>
    <w:family w:val="roman"/>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ind w:firstLine="360"/>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djustRightInd w:val="0"/>
      <w:snapToGrid w:val="0"/>
      <w:ind w:firstLine="240" w:firstLineChars="100"/>
      <w:rPr>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1E1E7"/>
    <w:multiLevelType w:val="singleLevel"/>
    <w:tmpl w:val="8261E1E7"/>
    <w:lvl w:ilvl="0" w:tentative="0">
      <w:start w:val="1"/>
      <w:numFmt w:val="decimal"/>
      <w:suff w:val="nothing"/>
      <w:lvlText w:val="%1、"/>
      <w:lvlJc w:val="left"/>
    </w:lvl>
  </w:abstractNum>
  <w:abstractNum w:abstractNumId="1">
    <w:nsid w:val="8F0A1447"/>
    <w:multiLevelType w:val="singleLevel"/>
    <w:tmpl w:val="8F0A1447"/>
    <w:lvl w:ilvl="0" w:tentative="0">
      <w:start w:val="7"/>
      <w:numFmt w:val="decimal"/>
      <w:suff w:val="space"/>
      <w:lvlText w:val="第%1章"/>
      <w:lvlJc w:val="left"/>
    </w:lvl>
  </w:abstractNum>
  <w:abstractNum w:abstractNumId="2">
    <w:nsid w:val="A859DEFA"/>
    <w:multiLevelType w:val="singleLevel"/>
    <w:tmpl w:val="A859DEFA"/>
    <w:lvl w:ilvl="0" w:tentative="0">
      <w:start w:val="1"/>
      <w:numFmt w:val="decimal"/>
      <w:suff w:val="nothing"/>
      <w:lvlText w:val="%1、"/>
      <w:lvlJc w:val="left"/>
      <w:rPr>
        <w:rFonts w:hint="default"/>
        <w:color w:val="auto"/>
      </w:rPr>
    </w:lvl>
  </w:abstractNum>
  <w:abstractNum w:abstractNumId="3">
    <w:nsid w:val="B1C6A045"/>
    <w:multiLevelType w:val="singleLevel"/>
    <w:tmpl w:val="B1C6A045"/>
    <w:lvl w:ilvl="0" w:tentative="0">
      <w:start w:val="1"/>
      <w:numFmt w:val="decimal"/>
      <w:suff w:val="nothing"/>
      <w:lvlText w:val="%1、"/>
      <w:lvlJc w:val="left"/>
    </w:lvl>
  </w:abstractNum>
  <w:abstractNum w:abstractNumId="4">
    <w:nsid w:val="CBB7DB52"/>
    <w:multiLevelType w:val="singleLevel"/>
    <w:tmpl w:val="CBB7DB52"/>
    <w:lvl w:ilvl="0" w:tentative="0">
      <w:start w:val="1"/>
      <w:numFmt w:val="chineseCounting"/>
      <w:suff w:val="space"/>
      <w:lvlText w:val="第%1条"/>
      <w:lvlJc w:val="left"/>
      <w:rPr>
        <w:rFonts w:hint="eastAsia"/>
      </w:rPr>
    </w:lvl>
  </w:abstractNum>
  <w:abstractNum w:abstractNumId="5">
    <w:nsid w:val="D685FDF8"/>
    <w:multiLevelType w:val="singleLevel"/>
    <w:tmpl w:val="D685FDF8"/>
    <w:lvl w:ilvl="0" w:tentative="0">
      <w:start w:val="1"/>
      <w:numFmt w:val="decimal"/>
      <w:suff w:val="nothing"/>
      <w:lvlText w:val="%1、"/>
      <w:lvlJc w:val="left"/>
    </w:lvl>
  </w:abstractNum>
  <w:abstractNum w:abstractNumId="6">
    <w:nsid w:val="FD1C7C0A"/>
    <w:multiLevelType w:val="singleLevel"/>
    <w:tmpl w:val="FD1C7C0A"/>
    <w:lvl w:ilvl="0" w:tentative="0">
      <w:start w:val="1"/>
      <w:numFmt w:val="decimal"/>
      <w:lvlText w:val="%1."/>
      <w:lvlJc w:val="left"/>
      <w:pPr>
        <w:tabs>
          <w:tab w:val="left" w:pos="312"/>
        </w:tabs>
      </w:pPr>
    </w:lvl>
  </w:abstractNum>
  <w:abstractNum w:abstractNumId="7">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FDA68CE"/>
    <w:multiLevelType w:val="singleLevel"/>
    <w:tmpl w:val="1FDA68CE"/>
    <w:lvl w:ilvl="0" w:tentative="0">
      <w:start w:val="13"/>
      <w:numFmt w:val="decimal"/>
      <w:suff w:val="nothing"/>
      <w:lvlText w:val="（%1）"/>
      <w:lvlJc w:val="left"/>
    </w:lvl>
  </w:abstractNum>
  <w:abstractNum w:abstractNumId="9">
    <w:nsid w:val="222AAD0E"/>
    <w:multiLevelType w:val="singleLevel"/>
    <w:tmpl w:val="222AAD0E"/>
    <w:lvl w:ilvl="0" w:tentative="0">
      <w:start w:val="1"/>
      <w:numFmt w:val="decimal"/>
      <w:suff w:val="nothing"/>
      <w:lvlText w:val="%1、"/>
      <w:lvlJc w:val="left"/>
    </w:lvl>
  </w:abstractNum>
  <w:abstractNum w:abstractNumId="10">
    <w:nsid w:val="2E5C49AC"/>
    <w:multiLevelType w:val="singleLevel"/>
    <w:tmpl w:val="2E5C49AC"/>
    <w:lvl w:ilvl="0" w:tentative="0">
      <w:start w:val="2"/>
      <w:numFmt w:val="decimal"/>
      <w:suff w:val="nothing"/>
      <w:lvlText w:val="%1、"/>
      <w:lvlJc w:val="left"/>
    </w:lvl>
  </w:abstractNum>
  <w:abstractNum w:abstractNumId="11">
    <w:nsid w:val="34D50379"/>
    <w:multiLevelType w:val="multilevel"/>
    <w:tmpl w:val="34D50379"/>
    <w:lvl w:ilvl="0" w:tentative="0">
      <w:start w:val="1"/>
      <w:numFmt w:val="decimal"/>
      <w:pStyle w:val="3"/>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decimal"/>
      <w:suff w:val="nothing"/>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D900A13"/>
    <w:multiLevelType w:val="multilevel"/>
    <w:tmpl w:val="3D900A13"/>
    <w:lvl w:ilvl="0" w:tentative="0">
      <w:start w:val="1"/>
      <w:numFmt w:val="decimal"/>
      <w:lvlText w:val="%1."/>
      <w:lvlJc w:val="left"/>
      <w:pPr>
        <w:ind w:left="425" w:hanging="425"/>
      </w:pPr>
      <w:rPr>
        <w:rFonts w:hint="eastAsia"/>
      </w:rPr>
    </w:lvl>
    <w:lvl w:ilvl="1" w:tentative="0">
      <w:start w:val="1"/>
      <w:numFmt w:val="decimal"/>
      <w:pStyle w:val="148"/>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53740DB4"/>
    <w:multiLevelType w:val="multilevel"/>
    <w:tmpl w:val="53740DB4"/>
    <w:lvl w:ilvl="0" w:tentative="0">
      <w:start w:val="1"/>
      <w:numFmt w:val="decimal"/>
      <w:lvlText w:val="第%1章"/>
      <w:lvlJc w:val="left"/>
      <w:pPr>
        <w:ind w:left="3311" w:hanging="431"/>
      </w:pPr>
      <w:rPr>
        <w:rFonts w:hint="default" w:ascii="Cambria Math" w:hAnsi="Cambria Math" w:eastAsia="Cambria Math"/>
        <w:b/>
        <w:i w:val="0"/>
        <w:sz w:val="32"/>
      </w:rPr>
    </w:lvl>
    <w:lvl w:ilvl="1" w:tentative="0">
      <w:start w:val="1"/>
      <w:numFmt w:val="decimal"/>
      <w:lvlText w:val="%1.%2"/>
      <w:lvlJc w:val="left"/>
      <w:pPr>
        <w:ind w:left="431" w:hanging="431"/>
      </w:pPr>
      <w:rPr>
        <w:rFonts w:hint="default" w:ascii="Times New Roman" w:hAnsi="Times New Roman" w:eastAsia="宋体" w:cs="Times New Roman"/>
        <w:b/>
        <w:i w:val="0"/>
        <w:sz w:val="28"/>
      </w:rPr>
    </w:lvl>
    <w:lvl w:ilvl="2" w:tentative="0">
      <w:start w:val="1"/>
      <w:numFmt w:val="decimal"/>
      <w:lvlText w:val="%1.%2.%3"/>
      <w:lvlJc w:val="left"/>
      <w:pPr>
        <w:ind w:left="573" w:hanging="431"/>
      </w:pPr>
      <w:rPr>
        <w:rFonts w:hint="default" w:ascii="Times New Roman" w:hAnsi="Times New Roman" w:eastAsia="宋体" w:cs="Times New Roman"/>
        <w:b/>
        <w:i w:val="0"/>
        <w:sz w:val="28"/>
      </w:rPr>
    </w:lvl>
    <w:lvl w:ilvl="3" w:tentative="0">
      <w:start w:val="1"/>
      <w:numFmt w:val="decimal"/>
      <w:pStyle w:val="6"/>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num w:numId="1">
    <w:abstractNumId w:val="11"/>
  </w:num>
  <w:num w:numId="2">
    <w:abstractNumId w:val="13"/>
  </w:num>
  <w:num w:numId="3">
    <w:abstractNumId w:val="7"/>
  </w:num>
  <w:num w:numId="4">
    <w:abstractNumId w:val="12"/>
  </w:num>
  <w:num w:numId="5">
    <w:abstractNumId w:val="2"/>
  </w:num>
  <w:num w:numId="6">
    <w:abstractNumId w:val="6"/>
  </w:num>
  <w:num w:numId="7">
    <w:abstractNumId w:val="8"/>
  </w:num>
  <w:num w:numId="8">
    <w:abstractNumId w:val="10"/>
  </w:num>
  <w:num w:numId="9">
    <w:abstractNumId w:val="1"/>
  </w:num>
  <w:num w:numId="10">
    <w:abstractNumId w:val="4"/>
  </w:num>
  <w:num w:numId="11">
    <w:abstractNumId w:val="9"/>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44"/>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9BC"/>
    <w:rsid w:val="00035BB2"/>
    <w:rsid w:val="00043010"/>
    <w:rsid w:val="00075CA2"/>
    <w:rsid w:val="0009216E"/>
    <w:rsid w:val="000C7AE6"/>
    <w:rsid w:val="000F234D"/>
    <w:rsid w:val="00103FDC"/>
    <w:rsid w:val="001172D0"/>
    <w:rsid w:val="001223E0"/>
    <w:rsid w:val="00122B5D"/>
    <w:rsid w:val="00152621"/>
    <w:rsid w:val="0016319B"/>
    <w:rsid w:val="00166160"/>
    <w:rsid w:val="00172A27"/>
    <w:rsid w:val="00195148"/>
    <w:rsid w:val="00195DFF"/>
    <w:rsid w:val="001A0528"/>
    <w:rsid w:val="001A0B68"/>
    <w:rsid w:val="001A7067"/>
    <w:rsid w:val="001B47E6"/>
    <w:rsid w:val="001C631C"/>
    <w:rsid w:val="001D7D32"/>
    <w:rsid w:val="00211B0B"/>
    <w:rsid w:val="00212A6A"/>
    <w:rsid w:val="00234CD7"/>
    <w:rsid w:val="00240E6D"/>
    <w:rsid w:val="00244322"/>
    <w:rsid w:val="00254FDC"/>
    <w:rsid w:val="002815A3"/>
    <w:rsid w:val="00285744"/>
    <w:rsid w:val="002940F0"/>
    <w:rsid w:val="002A1F7F"/>
    <w:rsid w:val="002B1C0E"/>
    <w:rsid w:val="002E17F8"/>
    <w:rsid w:val="002E3AEF"/>
    <w:rsid w:val="002F4B43"/>
    <w:rsid w:val="00346040"/>
    <w:rsid w:val="0036529F"/>
    <w:rsid w:val="003A5987"/>
    <w:rsid w:val="003B12C2"/>
    <w:rsid w:val="003B52FB"/>
    <w:rsid w:val="003B58DF"/>
    <w:rsid w:val="0041131F"/>
    <w:rsid w:val="00415392"/>
    <w:rsid w:val="0042284E"/>
    <w:rsid w:val="00427DB3"/>
    <w:rsid w:val="0043048E"/>
    <w:rsid w:val="00440A82"/>
    <w:rsid w:val="00443F87"/>
    <w:rsid w:val="004451FB"/>
    <w:rsid w:val="00461C82"/>
    <w:rsid w:val="00467B38"/>
    <w:rsid w:val="0047249C"/>
    <w:rsid w:val="0048666A"/>
    <w:rsid w:val="004A3E33"/>
    <w:rsid w:val="004A54D1"/>
    <w:rsid w:val="004B1404"/>
    <w:rsid w:val="004C1EB3"/>
    <w:rsid w:val="004D287E"/>
    <w:rsid w:val="004D4C77"/>
    <w:rsid w:val="004D785F"/>
    <w:rsid w:val="004F2124"/>
    <w:rsid w:val="005253DC"/>
    <w:rsid w:val="00540600"/>
    <w:rsid w:val="00582969"/>
    <w:rsid w:val="005A6F5D"/>
    <w:rsid w:val="005D132A"/>
    <w:rsid w:val="005E0BE0"/>
    <w:rsid w:val="006012B6"/>
    <w:rsid w:val="00607355"/>
    <w:rsid w:val="00650A7C"/>
    <w:rsid w:val="006576BA"/>
    <w:rsid w:val="006763A5"/>
    <w:rsid w:val="0068102C"/>
    <w:rsid w:val="00685E61"/>
    <w:rsid w:val="006A4F71"/>
    <w:rsid w:val="006B36E6"/>
    <w:rsid w:val="006C0952"/>
    <w:rsid w:val="006C2DAA"/>
    <w:rsid w:val="007445DD"/>
    <w:rsid w:val="00762618"/>
    <w:rsid w:val="00765DD1"/>
    <w:rsid w:val="00772F2A"/>
    <w:rsid w:val="007943D8"/>
    <w:rsid w:val="00797C7D"/>
    <w:rsid w:val="007A3592"/>
    <w:rsid w:val="007C387E"/>
    <w:rsid w:val="007E5DDB"/>
    <w:rsid w:val="008013BF"/>
    <w:rsid w:val="00806166"/>
    <w:rsid w:val="00807F5E"/>
    <w:rsid w:val="0082179C"/>
    <w:rsid w:val="00893E5A"/>
    <w:rsid w:val="00896521"/>
    <w:rsid w:val="008A0D40"/>
    <w:rsid w:val="008C002C"/>
    <w:rsid w:val="008C57D7"/>
    <w:rsid w:val="00901BE4"/>
    <w:rsid w:val="009022C1"/>
    <w:rsid w:val="0090295F"/>
    <w:rsid w:val="00903B93"/>
    <w:rsid w:val="009210CC"/>
    <w:rsid w:val="00926398"/>
    <w:rsid w:val="009276E7"/>
    <w:rsid w:val="00931658"/>
    <w:rsid w:val="009763B4"/>
    <w:rsid w:val="00986623"/>
    <w:rsid w:val="00992678"/>
    <w:rsid w:val="009962AD"/>
    <w:rsid w:val="009A6EE7"/>
    <w:rsid w:val="009B50F3"/>
    <w:rsid w:val="009D6D5B"/>
    <w:rsid w:val="00A0046F"/>
    <w:rsid w:val="00A0601D"/>
    <w:rsid w:val="00A204D4"/>
    <w:rsid w:val="00A34CBD"/>
    <w:rsid w:val="00A41FA5"/>
    <w:rsid w:val="00A606C4"/>
    <w:rsid w:val="00A64201"/>
    <w:rsid w:val="00A71532"/>
    <w:rsid w:val="00A826AD"/>
    <w:rsid w:val="00A82C08"/>
    <w:rsid w:val="00A85103"/>
    <w:rsid w:val="00AA39EA"/>
    <w:rsid w:val="00AC5FBE"/>
    <w:rsid w:val="00AD4C0A"/>
    <w:rsid w:val="00B00B4A"/>
    <w:rsid w:val="00B6278B"/>
    <w:rsid w:val="00B71069"/>
    <w:rsid w:val="00B76434"/>
    <w:rsid w:val="00B8329A"/>
    <w:rsid w:val="00B9246A"/>
    <w:rsid w:val="00B93C22"/>
    <w:rsid w:val="00BA2D49"/>
    <w:rsid w:val="00BC0436"/>
    <w:rsid w:val="00BC78F0"/>
    <w:rsid w:val="00BE097C"/>
    <w:rsid w:val="00BE3127"/>
    <w:rsid w:val="00C00FC7"/>
    <w:rsid w:val="00C130A3"/>
    <w:rsid w:val="00C22549"/>
    <w:rsid w:val="00C31C5B"/>
    <w:rsid w:val="00C40111"/>
    <w:rsid w:val="00C62918"/>
    <w:rsid w:val="00C927A7"/>
    <w:rsid w:val="00C9652B"/>
    <w:rsid w:val="00CA5E44"/>
    <w:rsid w:val="00CB6A86"/>
    <w:rsid w:val="00CC195C"/>
    <w:rsid w:val="00CD03B6"/>
    <w:rsid w:val="00CD6878"/>
    <w:rsid w:val="00CE2239"/>
    <w:rsid w:val="00D07812"/>
    <w:rsid w:val="00D14EE9"/>
    <w:rsid w:val="00D17319"/>
    <w:rsid w:val="00D202A5"/>
    <w:rsid w:val="00D620F7"/>
    <w:rsid w:val="00D850EB"/>
    <w:rsid w:val="00DA4DB0"/>
    <w:rsid w:val="00DB126B"/>
    <w:rsid w:val="00DD75C9"/>
    <w:rsid w:val="00E01E32"/>
    <w:rsid w:val="00E710AB"/>
    <w:rsid w:val="00EB1125"/>
    <w:rsid w:val="00EB2DD8"/>
    <w:rsid w:val="00EE6D3D"/>
    <w:rsid w:val="00F0141A"/>
    <w:rsid w:val="00F110EA"/>
    <w:rsid w:val="00F11E01"/>
    <w:rsid w:val="00FB2EA7"/>
    <w:rsid w:val="013336C3"/>
    <w:rsid w:val="0143016C"/>
    <w:rsid w:val="01484866"/>
    <w:rsid w:val="01535243"/>
    <w:rsid w:val="01625585"/>
    <w:rsid w:val="01A25538"/>
    <w:rsid w:val="01A27F12"/>
    <w:rsid w:val="01AD00D1"/>
    <w:rsid w:val="01BA45D6"/>
    <w:rsid w:val="01BB1FEB"/>
    <w:rsid w:val="01BE2635"/>
    <w:rsid w:val="01CF064D"/>
    <w:rsid w:val="01DD4631"/>
    <w:rsid w:val="01E17F53"/>
    <w:rsid w:val="01E94E64"/>
    <w:rsid w:val="01EC7E89"/>
    <w:rsid w:val="01F016BB"/>
    <w:rsid w:val="01FC02CF"/>
    <w:rsid w:val="020664C7"/>
    <w:rsid w:val="02100DB0"/>
    <w:rsid w:val="02614A1C"/>
    <w:rsid w:val="02637903"/>
    <w:rsid w:val="026C5568"/>
    <w:rsid w:val="027B6FB4"/>
    <w:rsid w:val="028B5A13"/>
    <w:rsid w:val="02B16F11"/>
    <w:rsid w:val="02EF6210"/>
    <w:rsid w:val="02FC5AD3"/>
    <w:rsid w:val="031D3508"/>
    <w:rsid w:val="032467CE"/>
    <w:rsid w:val="03283F32"/>
    <w:rsid w:val="032D1F4C"/>
    <w:rsid w:val="03357DA4"/>
    <w:rsid w:val="03383D35"/>
    <w:rsid w:val="033A0EF6"/>
    <w:rsid w:val="033B3DCB"/>
    <w:rsid w:val="033C3E2D"/>
    <w:rsid w:val="036B03BC"/>
    <w:rsid w:val="036F2C49"/>
    <w:rsid w:val="03710BC6"/>
    <w:rsid w:val="03724869"/>
    <w:rsid w:val="03B3272F"/>
    <w:rsid w:val="03DE51D2"/>
    <w:rsid w:val="03EC0EE4"/>
    <w:rsid w:val="03F62EC5"/>
    <w:rsid w:val="03FA5F2E"/>
    <w:rsid w:val="03FD72FD"/>
    <w:rsid w:val="040458B8"/>
    <w:rsid w:val="04086F4E"/>
    <w:rsid w:val="04327A7A"/>
    <w:rsid w:val="04337FCC"/>
    <w:rsid w:val="047550F2"/>
    <w:rsid w:val="048B603E"/>
    <w:rsid w:val="04925B11"/>
    <w:rsid w:val="04A22806"/>
    <w:rsid w:val="04AE38FA"/>
    <w:rsid w:val="04B845B6"/>
    <w:rsid w:val="04EA42C7"/>
    <w:rsid w:val="04EB7BCE"/>
    <w:rsid w:val="051676D7"/>
    <w:rsid w:val="05351224"/>
    <w:rsid w:val="05466182"/>
    <w:rsid w:val="054A29FD"/>
    <w:rsid w:val="054B6022"/>
    <w:rsid w:val="0553545F"/>
    <w:rsid w:val="05565BA0"/>
    <w:rsid w:val="057249C8"/>
    <w:rsid w:val="05892642"/>
    <w:rsid w:val="05896095"/>
    <w:rsid w:val="058F197F"/>
    <w:rsid w:val="059F5B6E"/>
    <w:rsid w:val="05A835E7"/>
    <w:rsid w:val="05B41DD6"/>
    <w:rsid w:val="05CB4214"/>
    <w:rsid w:val="05D56AEA"/>
    <w:rsid w:val="05D86B73"/>
    <w:rsid w:val="05D909AC"/>
    <w:rsid w:val="05DC3E6E"/>
    <w:rsid w:val="05EB525A"/>
    <w:rsid w:val="05FB7A05"/>
    <w:rsid w:val="060A78F1"/>
    <w:rsid w:val="061048F5"/>
    <w:rsid w:val="062C49C1"/>
    <w:rsid w:val="06344FC3"/>
    <w:rsid w:val="06580598"/>
    <w:rsid w:val="0669110D"/>
    <w:rsid w:val="066D32AE"/>
    <w:rsid w:val="0677547E"/>
    <w:rsid w:val="067D4F85"/>
    <w:rsid w:val="067E71A1"/>
    <w:rsid w:val="06807FA9"/>
    <w:rsid w:val="06825291"/>
    <w:rsid w:val="06903431"/>
    <w:rsid w:val="06966DBE"/>
    <w:rsid w:val="06997DA9"/>
    <w:rsid w:val="069A2E7B"/>
    <w:rsid w:val="069B0200"/>
    <w:rsid w:val="06A6432B"/>
    <w:rsid w:val="06E3558B"/>
    <w:rsid w:val="06EC1695"/>
    <w:rsid w:val="075B7666"/>
    <w:rsid w:val="076259E8"/>
    <w:rsid w:val="078647C0"/>
    <w:rsid w:val="07870820"/>
    <w:rsid w:val="079E38D8"/>
    <w:rsid w:val="07C765E3"/>
    <w:rsid w:val="07D51BAC"/>
    <w:rsid w:val="07D94530"/>
    <w:rsid w:val="07DC2827"/>
    <w:rsid w:val="083C4CF3"/>
    <w:rsid w:val="083E12DF"/>
    <w:rsid w:val="08463F25"/>
    <w:rsid w:val="08495A21"/>
    <w:rsid w:val="084E49F7"/>
    <w:rsid w:val="084F476D"/>
    <w:rsid w:val="08544A49"/>
    <w:rsid w:val="0854505D"/>
    <w:rsid w:val="085C2FC7"/>
    <w:rsid w:val="08600509"/>
    <w:rsid w:val="086A4694"/>
    <w:rsid w:val="08782E50"/>
    <w:rsid w:val="08785620"/>
    <w:rsid w:val="087D34B4"/>
    <w:rsid w:val="08A03392"/>
    <w:rsid w:val="08AF1466"/>
    <w:rsid w:val="08BB641F"/>
    <w:rsid w:val="08CB7CB4"/>
    <w:rsid w:val="08D54A18"/>
    <w:rsid w:val="09014BCC"/>
    <w:rsid w:val="09066286"/>
    <w:rsid w:val="0933623E"/>
    <w:rsid w:val="093E0503"/>
    <w:rsid w:val="0946757A"/>
    <w:rsid w:val="095D3AA1"/>
    <w:rsid w:val="09A97E43"/>
    <w:rsid w:val="09D66D6B"/>
    <w:rsid w:val="09E47FF6"/>
    <w:rsid w:val="09E7487E"/>
    <w:rsid w:val="09EA033A"/>
    <w:rsid w:val="09ED09C2"/>
    <w:rsid w:val="09FF371E"/>
    <w:rsid w:val="0A157E10"/>
    <w:rsid w:val="0A265814"/>
    <w:rsid w:val="0A3B56D8"/>
    <w:rsid w:val="0A412BAB"/>
    <w:rsid w:val="0A5140A4"/>
    <w:rsid w:val="0A6B0F11"/>
    <w:rsid w:val="0A78251F"/>
    <w:rsid w:val="0A7A58EC"/>
    <w:rsid w:val="0A825BFB"/>
    <w:rsid w:val="0A8B15FB"/>
    <w:rsid w:val="0AB73873"/>
    <w:rsid w:val="0ACA61E1"/>
    <w:rsid w:val="0ADE0B82"/>
    <w:rsid w:val="0B07487A"/>
    <w:rsid w:val="0B1441F5"/>
    <w:rsid w:val="0B201679"/>
    <w:rsid w:val="0B405E0F"/>
    <w:rsid w:val="0B4519F7"/>
    <w:rsid w:val="0B7463D5"/>
    <w:rsid w:val="0B7F2CB3"/>
    <w:rsid w:val="0B830079"/>
    <w:rsid w:val="0B9B5DEE"/>
    <w:rsid w:val="0BB66301"/>
    <w:rsid w:val="0BC529D2"/>
    <w:rsid w:val="0BCE4F0F"/>
    <w:rsid w:val="0BCE5964"/>
    <w:rsid w:val="0BDB4B51"/>
    <w:rsid w:val="0BFA04A0"/>
    <w:rsid w:val="0C186062"/>
    <w:rsid w:val="0C1B03D6"/>
    <w:rsid w:val="0C3B0986"/>
    <w:rsid w:val="0C3D578D"/>
    <w:rsid w:val="0C530ED0"/>
    <w:rsid w:val="0C5E0C6B"/>
    <w:rsid w:val="0C603BB4"/>
    <w:rsid w:val="0C61513E"/>
    <w:rsid w:val="0C651D0D"/>
    <w:rsid w:val="0C716B12"/>
    <w:rsid w:val="0C905C2D"/>
    <w:rsid w:val="0C976C1C"/>
    <w:rsid w:val="0CA102C4"/>
    <w:rsid w:val="0CB61208"/>
    <w:rsid w:val="0CC302E8"/>
    <w:rsid w:val="0CD51F29"/>
    <w:rsid w:val="0CDE0271"/>
    <w:rsid w:val="0CED2BBA"/>
    <w:rsid w:val="0CEE7F71"/>
    <w:rsid w:val="0CF84BEF"/>
    <w:rsid w:val="0D121DE7"/>
    <w:rsid w:val="0D5A612F"/>
    <w:rsid w:val="0D6C1AD6"/>
    <w:rsid w:val="0D7E4B7D"/>
    <w:rsid w:val="0D816E76"/>
    <w:rsid w:val="0D9D0D05"/>
    <w:rsid w:val="0D9E5B65"/>
    <w:rsid w:val="0DB95540"/>
    <w:rsid w:val="0DB96907"/>
    <w:rsid w:val="0DD823A9"/>
    <w:rsid w:val="0DFA1729"/>
    <w:rsid w:val="0DFA6461"/>
    <w:rsid w:val="0E122113"/>
    <w:rsid w:val="0E365910"/>
    <w:rsid w:val="0E5273D6"/>
    <w:rsid w:val="0E605A76"/>
    <w:rsid w:val="0E957634"/>
    <w:rsid w:val="0E974B68"/>
    <w:rsid w:val="0E9E74EA"/>
    <w:rsid w:val="0E9F4654"/>
    <w:rsid w:val="0EAE5F81"/>
    <w:rsid w:val="0EB23CDE"/>
    <w:rsid w:val="0EDF107E"/>
    <w:rsid w:val="0F0C3DED"/>
    <w:rsid w:val="0F12227B"/>
    <w:rsid w:val="0F156056"/>
    <w:rsid w:val="0F1568FA"/>
    <w:rsid w:val="0F287086"/>
    <w:rsid w:val="0F750BA8"/>
    <w:rsid w:val="0F873F4C"/>
    <w:rsid w:val="0F8A0081"/>
    <w:rsid w:val="0FA36C59"/>
    <w:rsid w:val="0FB510C0"/>
    <w:rsid w:val="0FC53429"/>
    <w:rsid w:val="0FEC2F45"/>
    <w:rsid w:val="100A0D10"/>
    <w:rsid w:val="10464078"/>
    <w:rsid w:val="10464EE5"/>
    <w:rsid w:val="104A3D85"/>
    <w:rsid w:val="10540330"/>
    <w:rsid w:val="10542030"/>
    <w:rsid w:val="1061531F"/>
    <w:rsid w:val="1072779F"/>
    <w:rsid w:val="107C3F85"/>
    <w:rsid w:val="108378D2"/>
    <w:rsid w:val="10952EF7"/>
    <w:rsid w:val="11146E2D"/>
    <w:rsid w:val="113317A3"/>
    <w:rsid w:val="113F265E"/>
    <w:rsid w:val="11485341"/>
    <w:rsid w:val="115313E3"/>
    <w:rsid w:val="11647845"/>
    <w:rsid w:val="11707B7D"/>
    <w:rsid w:val="11775657"/>
    <w:rsid w:val="118A3755"/>
    <w:rsid w:val="11A87693"/>
    <w:rsid w:val="11AC143C"/>
    <w:rsid w:val="11B67C1F"/>
    <w:rsid w:val="11C36271"/>
    <w:rsid w:val="11C50D1D"/>
    <w:rsid w:val="120F659B"/>
    <w:rsid w:val="122F52EB"/>
    <w:rsid w:val="1239246A"/>
    <w:rsid w:val="123B32EB"/>
    <w:rsid w:val="12433000"/>
    <w:rsid w:val="126C6D4F"/>
    <w:rsid w:val="127F299F"/>
    <w:rsid w:val="12814A4F"/>
    <w:rsid w:val="128B1360"/>
    <w:rsid w:val="12CC512D"/>
    <w:rsid w:val="12CE58ED"/>
    <w:rsid w:val="12D34952"/>
    <w:rsid w:val="12E47648"/>
    <w:rsid w:val="12E96952"/>
    <w:rsid w:val="12EB43E1"/>
    <w:rsid w:val="131F3E58"/>
    <w:rsid w:val="13446C36"/>
    <w:rsid w:val="13472844"/>
    <w:rsid w:val="13635F3F"/>
    <w:rsid w:val="13647596"/>
    <w:rsid w:val="13670646"/>
    <w:rsid w:val="137474C0"/>
    <w:rsid w:val="13AE0E1A"/>
    <w:rsid w:val="13BC75CF"/>
    <w:rsid w:val="13BF59B1"/>
    <w:rsid w:val="13D47414"/>
    <w:rsid w:val="13F7357F"/>
    <w:rsid w:val="14035F02"/>
    <w:rsid w:val="14046D25"/>
    <w:rsid w:val="14406C60"/>
    <w:rsid w:val="144B4B72"/>
    <w:rsid w:val="1456273D"/>
    <w:rsid w:val="14613F13"/>
    <w:rsid w:val="14821D35"/>
    <w:rsid w:val="148F51F3"/>
    <w:rsid w:val="149B3A08"/>
    <w:rsid w:val="14B74989"/>
    <w:rsid w:val="14B84352"/>
    <w:rsid w:val="14CC7F25"/>
    <w:rsid w:val="151241AD"/>
    <w:rsid w:val="151F6084"/>
    <w:rsid w:val="154009B3"/>
    <w:rsid w:val="1541059F"/>
    <w:rsid w:val="155B494E"/>
    <w:rsid w:val="15602B50"/>
    <w:rsid w:val="157A120E"/>
    <w:rsid w:val="15B36182"/>
    <w:rsid w:val="15BB3382"/>
    <w:rsid w:val="15C6702D"/>
    <w:rsid w:val="15CB0458"/>
    <w:rsid w:val="15DA2601"/>
    <w:rsid w:val="15E47F8F"/>
    <w:rsid w:val="15ED7402"/>
    <w:rsid w:val="15F476C6"/>
    <w:rsid w:val="15F94639"/>
    <w:rsid w:val="160403D4"/>
    <w:rsid w:val="160B7FA2"/>
    <w:rsid w:val="16153197"/>
    <w:rsid w:val="161C6D2E"/>
    <w:rsid w:val="161E5A13"/>
    <w:rsid w:val="1622337B"/>
    <w:rsid w:val="163D5690"/>
    <w:rsid w:val="16450DD0"/>
    <w:rsid w:val="164D3B25"/>
    <w:rsid w:val="166F2BED"/>
    <w:rsid w:val="167C4A8D"/>
    <w:rsid w:val="1687496E"/>
    <w:rsid w:val="1695616F"/>
    <w:rsid w:val="16BE2CE0"/>
    <w:rsid w:val="16D41072"/>
    <w:rsid w:val="16D86E97"/>
    <w:rsid w:val="16DB587D"/>
    <w:rsid w:val="16E40C56"/>
    <w:rsid w:val="16F531B3"/>
    <w:rsid w:val="16FC25BA"/>
    <w:rsid w:val="1700772E"/>
    <w:rsid w:val="17106434"/>
    <w:rsid w:val="172A1DCA"/>
    <w:rsid w:val="17374065"/>
    <w:rsid w:val="17425BA5"/>
    <w:rsid w:val="17453183"/>
    <w:rsid w:val="17665175"/>
    <w:rsid w:val="177F0B6D"/>
    <w:rsid w:val="178E5CE6"/>
    <w:rsid w:val="17B76359"/>
    <w:rsid w:val="17BD7BDD"/>
    <w:rsid w:val="17C80BAD"/>
    <w:rsid w:val="17DD556B"/>
    <w:rsid w:val="17F005AA"/>
    <w:rsid w:val="180151A0"/>
    <w:rsid w:val="181828EC"/>
    <w:rsid w:val="1819668F"/>
    <w:rsid w:val="18447FF8"/>
    <w:rsid w:val="184F53CD"/>
    <w:rsid w:val="185353E0"/>
    <w:rsid w:val="18737F18"/>
    <w:rsid w:val="18753EE6"/>
    <w:rsid w:val="18762D94"/>
    <w:rsid w:val="187C5385"/>
    <w:rsid w:val="187F0AB2"/>
    <w:rsid w:val="18B77ADE"/>
    <w:rsid w:val="18C51F1A"/>
    <w:rsid w:val="18C75760"/>
    <w:rsid w:val="18DE4E89"/>
    <w:rsid w:val="18E155D4"/>
    <w:rsid w:val="18F26EBB"/>
    <w:rsid w:val="18F840DF"/>
    <w:rsid w:val="18F8773E"/>
    <w:rsid w:val="19021250"/>
    <w:rsid w:val="191254B0"/>
    <w:rsid w:val="191D0175"/>
    <w:rsid w:val="19235B69"/>
    <w:rsid w:val="19300DE3"/>
    <w:rsid w:val="19466D71"/>
    <w:rsid w:val="19564106"/>
    <w:rsid w:val="19617461"/>
    <w:rsid w:val="19834FB9"/>
    <w:rsid w:val="198C0127"/>
    <w:rsid w:val="199155D1"/>
    <w:rsid w:val="199C0EF2"/>
    <w:rsid w:val="19AA7E44"/>
    <w:rsid w:val="19B86BA4"/>
    <w:rsid w:val="19BE442D"/>
    <w:rsid w:val="19C3776E"/>
    <w:rsid w:val="19D135AA"/>
    <w:rsid w:val="19DD55FD"/>
    <w:rsid w:val="19E07F29"/>
    <w:rsid w:val="19ED02F0"/>
    <w:rsid w:val="19F10A7D"/>
    <w:rsid w:val="1A023B14"/>
    <w:rsid w:val="1A0E7C94"/>
    <w:rsid w:val="1A211AD1"/>
    <w:rsid w:val="1A227E1A"/>
    <w:rsid w:val="1A367838"/>
    <w:rsid w:val="1A3A54F3"/>
    <w:rsid w:val="1A545C28"/>
    <w:rsid w:val="1A597F6B"/>
    <w:rsid w:val="1AA434F3"/>
    <w:rsid w:val="1AB43513"/>
    <w:rsid w:val="1AB75F0E"/>
    <w:rsid w:val="1ACF4D40"/>
    <w:rsid w:val="1ADD70A1"/>
    <w:rsid w:val="1AE242AC"/>
    <w:rsid w:val="1AE72F10"/>
    <w:rsid w:val="1AF110AF"/>
    <w:rsid w:val="1B032D3D"/>
    <w:rsid w:val="1B0F3BCD"/>
    <w:rsid w:val="1B0F4246"/>
    <w:rsid w:val="1B1E105C"/>
    <w:rsid w:val="1B221C40"/>
    <w:rsid w:val="1B225DC1"/>
    <w:rsid w:val="1B292FFD"/>
    <w:rsid w:val="1B2D19E7"/>
    <w:rsid w:val="1B50543C"/>
    <w:rsid w:val="1B582C50"/>
    <w:rsid w:val="1B966F85"/>
    <w:rsid w:val="1BB043A8"/>
    <w:rsid w:val="1BB13193"/>
    <w:rsid w:val="1BB33584"/>
    <w:rsid w:val="1BBB5D42"/>
    <w:rsid w:val="1BBC7D4D"/>
    <w:rsid w:val="1BBF294C"/>
    <w:rsid w:val="1BC3071D"/>
    <w:rsid w:val="1BDF01AC"/>
    <w:rsid w:val="1BE937A8"/>
    <w:rsid w:val="1C0E78BE"/>
    <w:rsid w:val="1C13196F"/>
    <w:rsid w:val="1C456B50"/>
    <w:rsid w:val="1C607127"/>
    <w:rsid w:val="1C7313A6"/>
    <w:rsid w:val="1C837630"/>
    <w:rsid w:val="1C876485"/>
    <w:rsid w:val="1C9C373A"/>
    <w:rsid w:val="1CB51BEC"/>
    <w:rsid w:val="1CB70A6D"/>
    <w:rsid w:val="1CDF5BBE"/>
    <w:rsid w:val="1CE30CB8"/>
    <w:rsid w:val="1CE47CAF"/>
    <w:rsid w:val="1CFD30B3"/>
    <w:rsid w:val="1D120D26"/>
    <w:rsid w:val="1D1B7AA0"/>
    <w:rsid w:val="1D363F66"/>
    <w:rsid w:val="1D626DBA"/>
    <w:rsid w:val="1D69057C"/>
    <w:rsid w:val="1D82063C"/>
    <w:rsid w:val="1D895F08"/>
    <w:rsid w:val="1DA66941"/>
    <w:rsid w:val="1DB055D7"/>
    <w:rsid w:val="1DB4467F"/>
    <w:rsid w:val="1DC765A5"/>
    <w:rsid w:val="1DCE678B"/>
    <w:rsid w:val="1DE2086D"/>
    <w:rsid w:val="1DFC22A9"/>
    <w:rsid w:val="1E0C7EA8"/>
    <w:rsid w:val="1E1163AC"/>
    <w:rsid w:val="1E250ACF"/>
    <w:rsid w:val="1E305F9B"/>
    <w:rsid w:val="1E3A64D3"/>
    <w:rsid w:val="1E3C1A83"/>
    <w:rsid w:val="1E695B60"/>
    <w:rsid w:val="1E757880"/>
    <w:rsid w:val="1E7B3297"/>
    <w:rsid w:val="1E800B0F"/>
    <w:rsid w:val="1EAF444F"/>
    <w:rsid w:val="1EB35025"/>
    <w:rsid w:val="1ED33C96"/>
    <w:rsid w:val="1EE238DD"/>
    <w:rsid w:val="1EE918E3"/>
    <w:rsid w:val="1F0942C9"/>
    <w:rsid w:val="1F0F449A"/>
    <w:rsid w:val="1F31493E"/>
    <w:rsid w:val="1F395DC4"/>
    <w:rsid w:val="1F4D611C"/>
    <w:rsid w:val="1F5C5447"/>
    <w:rsid w:val="1F74653E"/>
    <w:rsid w:val="1F90541A"/>
    <w:rsid w:val="1FA811CE"/>
    <w:rsid w:val="1FAC70E5"/>
    <w:rsid w:val="1FB51AE3"/>
    <w:rsid w:val="1FC639D6"/>
    <w:rsid w:val="1FEB3408"/>
    <w:rsid w:val="1FEC5378"/>
    <w:rsid w:val="1FF17B9A"/>
    <w:rsid w:val="202F6629"/>
    <w:rsid w:val="20393F46"/>
    <w:rsid w:val="20410089"/>
    <w:rsid w:val="204262FD"/>
    <w:rsid w:val="20521FAD"/>
    <w:rsid w:val="20525FF3"/>
    <w:rsid w:val="205816C1"/>
    <w:rsid w:val="20660DC6"/>
    <w:rsid w:val="20A8051C"/>
    <w:rsid w:val="20AA3661"/>
    <w:rsid w:val="20B302A2"/>
    <w:rsid w:val="20C52663"/>
    <w:rsid w:val="20E04475"/>
    <w:rsid w:val="20FF4102"/>
    <w:rsid w:val="2115287A"/>
    <w:rsid w:val="214E33BF"/>
    <w:rsid w:val="216F05CB"/>
    <w:rsid w:val="2173108C"/>
    <w:rsid w:val="21785F58"/>
    <w:rsid w:val="21911978"/>
    <w:rsid w:val="219A2F58"/>
    <w:rsid w:val="21A21443"/>
    <w:rsid w:val="21B66779"/>
    <w:rsid w:val="21BF4B2A"/>
    <w:rsid w:val="21C343C0"/>
    <w:rsid w:val="21D83703"/>
    <w:rsid w:val="220A18A1"/>
    <w:rsid w:val="22135862"/>
    <w:rsid w:val="2214545E"/>
    <w:rsid w:val="221D4DFA"/>
    <w:rsid w:val="2227584E"/>
    <w:rsid w:val="222F618D"/>
    <w:rsid w:val="22476B6E"/>
    <w:rsid w:val="22501840"/>
    <w:rsid w:val="227D0AC8"/>
    <w:rsid w:val="22AC786E"/>
    <w:rsid w:val="22CB4C84"/>
    <w:rsid w:val="22CD0959"/>
    <w:rsid w:val="22F4371D"/>
    <w:rsid w:val="23090247"/>
    <w:rsid w:val="234C7937"/>
    <w:rsid w:val="235C2D52"/>
    <w:rsid w:val="2369229E"/>
    <w:rsid w:val="23957017"/>
    <w:rsid w:val="239A5F20"/>
    <w:rsid w:val="23B864B6"/>
    <w:rsid w:val="23C44370"/>
    <w:rsid w:val="23C54233"/>
    <w:rsid w:val="23C7465B"/>
    <w:rsid w:val="23C8618F"/>
    <w:rsid w:val="23D74680"/>
    <w:rsid w:val="23FD3B57"/>
    <w:rsid w:val="24033227"/>
    <w:rsid w:val="24051BF7"/>
    <w:rsid w:val="24176F62"/>
    <w:rsid w:val="241D4296"/>
    <w:rsid w:val="242F3C8E"/>
    <w:rsid w:val="24326601"/>
    <w:rsid w:val="243A5AD1"/>
    <w:rsid w:val="24434EBA"/>
    <w:rsid w:val="245A0906"/>
    <w:rsid w:val="245E5849"/>
    <w:rsid w:val="24787108"/>
    <w:rsid w:val="249D419E"/>
    <w:rsid w:val="24AC7AD1"/>
    <w:rsid w:val="24B07E87"/>
    <w:rsid w:val="24B3256C"/>
    <w:rsid w:val="24B56543"/>
    <w:rsid w:val="250F157B"/>
    <w:rsid w:val="25367E32"/>
    <w:rsid w:val="25417230"/>
    <w:rsid w:val="25671038"/>
    <w:rsid w:val="256B6853"/>
    <w:rsid w:val="25E61F7C"/>
    <w:rsid w:val="25EB5260"/>
    <w:rsid w:val="261178E7"/>
    <w:rsid w:val="261A21A8"/>
    <w:rsid w:val="26236925"/>
    <w:rsid w:val="264723C7"/>
    <w:rsid w:val="2649400B"/>
    <w:rsid w:val="269D7A33"/>
    <w:rsid w:val="26BB1FF1"/>
    <w:rsid w:val="26BC38FA"/>
    <w:rsid w:val="26CC2B42"/>
    <w:rsid w:val="26D82D59"/>
    <w:rsid w:val="26E63E5F"/>
    <w:rsid w:val="26F11C10"/>
    <w:rsid w:val="26FB12B3"/>
    <w:rsid w:val="26FE6F24"/>
    <w:rsid w:val="2712082C"/>
    <w:rsid w:val="271D13BA"/>
    <w:rsid w:val="27292BEE"/>
    <w:rsid w:val="27336505"/>
    <w:rsid w:val="27412347"/>
    <w:rsid w:val="27581BB3"/>
    <w:rsid w:val="27590C19"/>
    <w:rsid w:val="27653A12"/>
    <w:rsid w:val="27737B68"/>
    <w:rsid w:val="27AB5050"/>
    <w:rsid w:val="27D51A78"/>
    <w:rsid w:val="27E32AE6"/>
    <w:rsid w:val="27E51D0F"/>
    <w:rsid w:val="27EC21D4"/>
    <w:rsid w:val="27F10DEC"/>
    <w:rsid w:val="280C03BA"/>
    <w:rsid w:val="28326C17"/>
    <w:rsid w:val="283A4523"/>
    <w:rsid w:val="283B6D0F"/>
    <w:rsid w:val="283F75AA"/>
    <w:rsid w:val="28493ACC"/>
    <w:rsid w:val="28574051"/>
    <w:rsid w:val="28596BEB"/>
    <w:rsid w:val="285E46D8"/>
    <w:rsid w:val="28612675"/>
    <w:rsid w:val="28636887"/>
    <w:rsid w:val="28782637"/>
    <w:rsid w:val="287A48F8"/>
    <w:rsid w:val="2895752D"/>
    <w:rsid w:val="289C57C6"/>
    <w:rsid w:val="28CC7DEB"/>
    <w:rsid w:val="28D67B41"/>
    <w:rsid w:val="28D8717C"/>
    <w:rsid w:val="28DE6AB8"/>
    <w:rsid w:val="28ED6B67"/>
    <w:rsid w:val="28F65506"/>
    <w:rsid w:val="28FA6452"/>
    <w:rsid w:val="29004074"/>
    <w:rsid w:val="29053FEE"/>
    <w:rsid w:val="29073DCA"/>
    <w:rsid w:val="290E1AF1"/>
    <w:rsid w:val="291664E8"/>
    <w:rsid w:val="2921449B"/>
    <w:rsid w:val="295545F0"/>
    <w:rsid w:val="295D5B1C"/>
    <w:rsid w:val="29665D2B"/>
    <w:rsid w:val="2974613B"/>
    <w:rsid w:val="297D4119"/>
    <w:rsid w:val="299425EB"/>
    <w:rsid w:val="29A73973"/>
    <w:rsid w:val="29B62852"/>
    <w:rsid w:val="29BC1339"/>
    <w:rsid w:val="29BF5999"/>
    <w:rsid w:val="29EA507C"/>
    <w:rsid w:val="29F640FE"/>
    <w:rsid w:val="2A000331"/>
    <w:rsid w:val="2A03433F"/>
    <w:rsid w:val="2A1427B2"/>
    <w:rsid w:val="2A27755D"/>
    <w:rsid w:val="2A2E25BE"/>
    <w:rsid w:val="2A4926E2"/>
    <w:rsid w:val="2A4D6105"/>
    <w:rsid w:val="2A50400B"/>
    <w:rsid w:val="2A536C1B"/>
    <w:rsid w:val="2A565C54"/>
    <w:rsid w:val="2A9A17B4"/>
    <w:rsid w:val="2A9C0F26"/>
    <w:rsid w:val="2AAA0F1A"/>
    <w:rsid w:val="2ACB795A"/>
    <w:rsid w:val="2AFA585F"/>
    <w:rsid w:val="2AFC1B55"/>
    <w:rsid w:val="2AFC6DFA"/>
    <w:rsid w:val="2B0F0CBC"/>
    <w:rsid w:val="2B116439"/>
    <w:rsid w:val="2B145249"/>
    <w:rsid w:val="2B161F65"/>
    <w:rsid w:val="2B265982"/>
    <w:rsid w:val="2B3220C2"/>
    <w:rsid w:val="2B3247EE"/>
    <w:rsid w:val="2B3912E1"/>
    <w:rsid w:val="2B3921E8"/>
    <w:rsid w:val="2B5910B4"/>
    <w:rsid w:val="2B5C0484"/>
    <w:rsid w:val="2B917C2F"/>
    <w:rsid w:val="2B930A35"/>
    <w:rsid w:val="2BAB2303"/>
    <w:rsid w:val="2BC75922"/>
    <w:rsid w:val="2BEC7F6F"/>
    <w:rsid w:val="2C143C46"/>
    <w:rsid w:val="2C1602B7"/>
    <w:rsid w:val="2C184DB2"/>
    <w:rsid w:val="2C256F18"/>
    <w:rsid w:val="2C3250D4"/>
    <w:rsid w:val="2C3668D9"/>
    <w:rsid w:val="2C4E5D86"/>
    <w:rsid w:val="2C522CE0"/>
    <w:rsid w:val="2C546EAD"/>
    <w:rsid w:val="2C5A3C50"/>
    <w:rsid w:val="2C6D33E2"/>
    <w:rsid w:val="2C6E37F6"/>
    <w:rsid w:val="2C833E81"/>
    <w:rsid w:val="2C977E53"/>
    <w:rsid w:val="2CA94CBA"/>
    <w:rsid w:val="2CAD570D"/>
    <w:rsid w:val="2CB74590"/>
    <w:rsid w:val="2CCB676F"/>
    <w:rsid w:val="2CDF5389"/>
    <w:rsid w:val="2CF931A9"/>
    <w:rsid w:val="2D0E706A"/>
    <w:rsid w:val="2D116F90"/>
    <w:rsid w:val="2D1F6DBD"/>
    <w:rsid w:val="2D711990"/>
    <w:rsid w:val="2D94788A"/>
    <w:rsid w:val="2DA16ECC"/>
    <w:rsid w:val="2DE327C4"/>
    <w:rsid w:val="2DE66E43"/>
    <w:rsid w:val="2DEB438C"/>
    <w:rsid w:val="2DF6505E"/>
    <w:rsid w:val="2E115150"/>
    <w:rsid w:val="2E2737A6"/>
    <w:rsid w:val="2E2A154D"/>
    <w:rsid w:val="2E436FDA"/>
    <w:rsid w:val="2E4D4D11"/>
    <w:rsid w:val="2E4E7AA4"/>
    <w:rsid w:val="2E7A5482"/>
    <w:rsid w:val="2E8947D1"/>
    <w:rsid w:val="2EA43415"/>
    <w:rsid w:val="2EC4630B"/>
    <w:rsid w:val="2F011244"/>
    <w:rsid w:val="2F171747"/>
    <w:rsid w:val="2F3368EA"/>
    <w:rsid w:val="2F485FB9"/>
    <w:rsid w:val="2F4F5DF9"/>
    <w:rsid w:val="2F512477"/>
    <w:rsid w:val="2F583A2E"/>
    <w:rsid w:val="2F5A2B55"/>
    <w:rsid w:val="2F5B1A2F"/>
    <w:rsid w:val="2F5F3B3C"/>
    <w:rsid w:val="2F7070FD"/>
    <w:rsid w:val="2F8E10C5"/>
    <w:rsid w:val="2F975E6D"/>
    <w:rsid w:val="2F9F2CF5"/>
    <w:rsid w:val="2FA65219"/>
    <w:rsid w:val="2FAC3D67"/>
    <w:rsid w:val="2FAE0AE1"/>
    <w:rsid w:val="2FB810BA"/>
    <w:rsid w:val="2FC06704"/>
    <w:rsid w:val="2FD35E37"/>
    <w:rsid w:val="2FFF7561"/>
    <w:rsid w:val="30061512"/>
    <w:rsid w:val="300A7C6B"/>
    <w:rsid w:val="302D63BF"/>
    <w:rsid w:val="3038382C"/>
    <w:rsid w:val="304316B1"/>
    <w:rsid w:val="30973E73"/>
    <w:rsid w:val="30BF74C5"/>
    <w:rsid w:val="30C02C60"/>
    <w:rsid w:val="30EC7ABC"/>
    <w:rsid w:val="30F82301"/>
    <w:rsid w:val="310819B0"/>
    <w:rsid w:val="313915AC"/>
    <w:rsid w:val="313A166F"/>
    <w:rsid w:val="314F4F26"/>
    <w:rsid w:val="315616AC"/>
    <w:rsid w:val="31596A4C"/>
    <w:rsid w:val="316F0877"/>
    <w:rsid w:val="317A3585"/>
    <w:rsid w:val="317C5571"/>
    <w:rsid w:val="318106A7"/>
    <w:rsid w:val="3190136E"/>
    <w:rsid w:val="3191481E"/>
    <w:rsid w:val="31B76891"/>
    <w:rsid w:val="31BB1D9C"/>
    <w:rsid w:val="31CB09C8"/>
    <w:rsid w:val="31E45CD8"/>
    <w:rsid w:val="320A2C43"/>
    <w:rsid w:val="320D5F65"/>
    <w:rsid w:val="323375D1"/>
    <w:rsid w:val="323E61E0"/>
    <w:rsid w:val="3240612A"/>
    <w:rsid w:val="326F21AC"/>
    <w:rsid w:val="32767F86"/>
    <w:rsid w:val="32793806"/>
    <w:rsid w:val="327D7798"/>
    <w:rsid w:val="328626FB"/>
    <w:rsid w:val="329B4B85"/>
    <w:rsid w:val="32AA2023"/>
    <w:rsid w:val="32AC4184"/>
    <w:rsid w:val="32C82D6C"/>
    <w:rsid w:val="32D42B5D"/>
    <w:rsid w:val="32D5736A"/>
    <w:rsid w:val="32D76C7F"/>
    <w:rsid w:val="33103184"/>
    <w:rsid w:val="331258C4"/>
    <w:rsid w:val="33151FD8"/>
    <w:rsid w:val="331777A9"/>
    <w:rsid w:val="331F07C2"/>
    <w:rsid w:val="333A53D2"/>
    <w:rsid w:val="3354498E"/>
    <w:rsid w:val="33712998"/>
    <w:rsid w:val="33763E76"/>
    <w:rsid w:val="337C13DA"/>
    <w:rsid w:val="339576DB"/>
    <w:rsid w:val="339D16B0"/>
    <w:rsid w:val="339F76F0"/>
    <w:rsid w:val="33A550E4"/>
    <w:rsid w:val="33A75877"/>
    <w:rsid w:val="33B54111"/>
    <w:rsid w:val="34065350"/>
    <w:rsid w:val="34101169"/>
    <w:rsid w:val="34193DFE"/>
    <w:rsid w:val="341966BD"/>
    <w:rsid w:val="3454667E"/>
    <w:rsid w:val="345725BD"/>
    <w:rsid w:val="34586ABF"/>
    <w:rsid w:val="34597779"/>
    <w:rsid w:val="345F7085"/>
    <w:rsid w:val="348C6D3A"/>
    <w:rsid w:val="349274A2"/>
    <w:rsid w:val="3499343E"/>
    <w:rsid w:val="34B62A54"/>
    <w:rsid w:val="34E6659B"/>
    <w:rsid w:val="34F437C9"/>
    <w:rsid w:val="350C0F83"/>
    <w:rsid w:val="351C5DE2"/>
    <w:rsid w:val="3521163C"/>
    <w:rsid w:val="35600FD9"/>
    <w:rsid w:val="3582017D"/>
    <w:rsid w:val="35A6015E"/>
    <w:rsid w:val="35AF75AA"/>
    <w:rsid w:val="35BA392B"/>
    <w:rsid w:val="35C04973"/>
    <w:rsid w:val="35C52AC3"/>
    <w:rsid w:val="35DA6B6E"/>
    <w:rsid w:val="35E0322B"/>
    <w:rsid w:val="35EA0673"/>
    <w:rsid w:val="35EC56AE"/>
    <w:rsid w:val="35F91547"/>
    <w:rsid w:val="36072389"/>
    <w:rsid w:val="36274E6B"/>
    <w:rsid w:val="362D2A7B"/>
    <w:rsid w:val="36620AFF"/>
    <w:rsid w:val="366E598A"/>
    <w:rsid w:val="367A5FC2"/>
    <w:rsid w:val="367D1382"/>
    <w:rsid w:val="36860EDD"/>
    <w:rsid w:val="369E1BAD"/>
    <w:rsid w:val="36AD7BC6"/>
    <w:rsid w:val="36BC059C"/>
    <w:rsid w:val="36CC3F29"/>
    <w:rsid w:val="36DE76CB"/>
    <w:rsid w:val="36E3534B"/>
    <w:rsid w:val="36F05C09"/>
    <w:rsid w:val="36F47F8B"/>
    <w:rsid w:val="36F80579"/>
    <w:rsid w:val="370D35D6"/>
    <w:rsid w:val="37662009"/>
    <w:rsid w:val="37AE6A2D"/>
    <w:rsid w:val="37BC34D8"/>
    <w:rsid w:val="37BE3DD5"/>
    <w:rsid w:val="37C335CF"/>
    <w:rsid w:val="37C51E6C"/>
    <w:rsid w:val="37D15DEA"/>
    <w:rsid w:val="37D831EC"/>
    <w:rsid w:val="37E95175"/>
    <w:rsid w:val="37F43EF3"/>
    <w:rsid w:val="380978B1"/>
    <w:rsid w:val="38487F30"/>
    <w:rsid w:val="385B5A06"/>
    <w:rsid w:val="386D2F24"/>
    <w:rsid w:val="388752B2"/>
    <w:rsid w:val="38905BEF"/>
    <w:rsid w:val="389314B4"/>
    <w:rsid w:val="38B3249A"/>
    <w:rsid w:val="38C21004"/>
    <w:rsid w:val="38C437E3"/>
    <w:rsid w:val="38C44430"/>
    <w:rsid w:val="38EC2E20"/>
    <w:rsid w:val="392B3F17"/>
    <w:rsid w:val="39343E4E"/>
    <w:rsid w:val="394D68C3"/>
    <w:rsid w:val="39646C2A"/>
    <w:rsid w:val="397C1BE3"/>
    <w:rsid w:val="39BB66B8"/>
    <w:rsid w:val="3A0B2D04"/>
    <w:rsid w:val="3A18556B"/>
    <w:rsid w:val="3A215FCB"/>
    <w:rsid w:val="3A28396D"/>
    <w:rsid w:val="3A2E76E8"/>
    <w:rsid w:val="3A3133E6"/>
    <w:rsid w:val="3A3B2CC4"/>
    <w:rsid w:val="3A850758"/>
    <w:rsid w:val="3A8B11EA"/>
    <w:rsid w:val="3AD65C2D"/>
    <w:rsid w:val="3AF4302E"/>
    <w:rsid w:val="3B0073A1"/>
    <w:rsid w:val="3B070454"/>
    <w:rsid w:val="3B1706C1"/>
    <w:rsid w:val="3B1B3A3D"/>
    <w:rsid w:val="3B353F62"/>
    <w:rsid w:val="3B4C6FCB"/>
    <w:rsid w:val="3B664F6B"/>
    <w:rsid w:val="3B687AD6"/>
    <w:rsid w:val="3B6D1E65"/>
    <w:rsid w:val="3B840C41"/>
    <w:rsid w:val="3B882EFA"/>
    <w:rsid w:val="3B8C52A6"/>
    <w:rsid w:val="3BA8192D"/>
    <w:rsid w:val="3BB21B9A"/>
    <w:rsid w:val="3BB26419"/>
    <w:rsid w:val="3BB65D5D"/>
    <w:rsid w:val="3C07714E"/>
    <w:rsid w:val="3C373393"/>
    <w:rsid w:val="3C550E18"/>
    <w:rsid w:val="3C666D49"/>
    <w:rsid w:val="3C7E365D"/>
    <w:rsid w:val="3C885E97"/>
    <w:rsid w:val="3C89298A"/>
    <w:rsid w:val="3C9444D0"/>
    <w:rsid w:val="3CB07FC9"/>
    <w:rsid w:val="3CCA2098"/>
    <w:rsid w:val="3CE24981"/>
    <w:rsid w:val="3CFA48D2"/>
    <w:rsid w:val="3D4A26FF"/>
    <w:rsid w:val="3D595AE9"/>
    <w:rsid w:val="3DA77A40"/>
    <w:rsid w:val="3DA94EDA"/>
    <w:rsid w:val="3DAA36D9"/>
    <w:rsid w:val="3DB65864"/>
    <w:rsid w:val="3DC10CF2"/>
    <w:rsid w:val="3DC21197"/>
    <w:rsid w:val="3DC64E12"/>
    <w:rsid w:val="3DC963BB"/>
    <w:rsid w:val="3DCF6600"/>
    <w:rsid w:val="3DD67CC1"/>
    <w:rsid w:val="3DE40256"/>
    <w:rsid w:val="3DE90894"/>
    <w:rsid w:val="3DF44C73"/>
    <w:rsid w:val="3E0C59B3"/>
    <w:rsid w:val="3E0D7422"/>
    <w:rsid w:val="3E155848"/>
    <w:rsid w:val="3E1628E2"/>
    <w:rsid w:val="3E2E685B"/>
    <w:rsid w:val="3E3C4B3E"/>
    <w:rsid w:val="3E41017B"/>
    <w:rsid w:val="3E424548"/>
    <w:rsid w:val="3E543C75"/>
    <w:rsid w:val="3E5A2317"/>
    <w:rsid w:val="3E8B1FCB"/>
    <w:rsid w:val="3E8C0F65"/>
    <w:rsid w:val="3ED0449A"/>
    <w:rsid w:val="3EFB4DB4"/>
    <w:rsid w:val="3F0B7BD1"/>
    <w:rsid w:val="3F0D319F"/>
    <w:rsid w:val="3F6F092D"/>
    <w:rsid w:val="3F823A87"/>
    <w:rsid w:val="3F8E4BAF"/>
    <w:rsid w:val="3FB31024"/>
    <w:rsid w:val="3FBC32E8"/>
    <w:rsid w:val="3FC313DB"/>
    <w:rsid w:val="3FD57EF0"/>
    <w:rsid w:val="400A3DC7"/>
    <w:rsid w:val="400D6B54"/>
    <w:rsid w:val="401A09E6"/>
    <w:rsid w:val="4020064E"/>
    <w:rsid w:val="402B2818"/>
    <w:rsid w:val="40314DCF"/>
    <w:rsid w:val="40737293"/>
    <w:rsid w:val="407517F0"/>
    <w:rsid w:val="4097667C"/>
    <w:rsid w:val="40982193"/>
    <w:rsid w:val="40AB4084"/>
    <w:rsid w:val="40B227C1"/>
    <w:rsid w:val="40BE2BE0"/>
    <w:rsid w:val="40C85E7E"/>
    <w:rsid w:val="40D055FC"/>
    <w:rsid w:val="40E13EAB"/>
    <w:rsid w:val="40E94643"/>
    <w:rsid w:val="40F2448F"/>
    <w:rsid w:val="412B4C23"/>
    <w:rsid w:val="412E109C"/>
    <w:rsid w:val="413138B8"/>
    <w:rsid w:val="41385AEE"/>
    <w:rsid w:val="416C546C"/>
    <w:rsid w:val="41722B8D"/>
    <w:rsid w:val="41754761"/>
    <w:rsid w:val="417E4693"/>
    <w:rsid w:val="418E40FB"/>
    <w:rsid w:val="41910ECF"/>
    <w:rsid w:val="41B975C2"/>
    <w:rsid w:val="41BA2A10"/>
    <w:rsid w:val="41F72152"/>
    <w:rsid w:val="41FE162E"/>
    <w:rsid w:val="42127DBE"/>
    <w:rsid w:val="42262355"/>
    <w:rsid w:val="424643D2"/>
    <w:rsid w:val="426E3E8E"/>
    <w:rsid w:val="42772A4A"/>
    <w:rsid w:val="4294089D"/>
    <w:rsid w:val="429742AE"/>
    <w:rsid w:val="429E4A56"/>
    <w:rsid w:val="42AB2FFF"/>
    <w:rsid w:val="42D05854"/>
    <w:rsid w:val="42D136A0"/>
    <w:rsid w:val="42D408EE"/>
    <w:rsid w:val="42E57808"/>
    <w:rsid w:val="42EB5076"/>
    <w:rsid w:val="430C7CDD"/>
    <w:rsid w:val="43141915"/>
    <w:rsid w:val="43267B64"/>
    <w:rsid w:val="432B4F35"/>
    <w:rsid w:val="432E2291"/>
    <w:rsid w:val="434A5876"/>
    <w:rsid w:val="435E6FF0"/>
    <w:rsid w:val="439A7B21"/>
    <w:rsid w:val="43AB108B"/>
    <w:rsid w:val="43C33838"/>
    <w:rsid w:val="43D07396"/>
    <w:rsid w:val="43D3730E"/>
    <w:rsid w:val="43FA4439"/>
    <w:rsid w:val="440F5014"/>
    <w:rsid w:val="440F5A84"/>
    <w:rsid w:val="44142936"/>
    <w:rsid w:val="4442714A"/>
    <w:rsid w:val="4460202F"/>
    <w:rsid w:val="44721653"/>
    <w:rsid w:val="44730FD2"/>
    <w:rsid w:val="44887E66"/>
    <w:rsid w:val="449955A0"/>
    <w:rsid w:val="44BA1126"/>
    <w:rsid w:val="44C27F45"/>
    <w:rsid w:val="44ED45E0"/>
    <w:rsid w:val="44F17FD5"/>
    <w:rsid w:val="44F277E0"/>
    <w:rsid w:val="450104B9"/>
    <w:rsid w:val="45031960"/>
    <w:rsid w:val="45186462"/>
    <w:rsid w:val="45287801"/>
    <w:rsid w:val="45302A93"/>
    <w:rsid w:val="45424250"/>
    <w:rsid w:val="45561990"/>
    <w:rsid w:val="457819BE"/>
    <w:rsid w:val="457A65F9"/>
    <w:rsid w:val="457D5B82"/>
    <w:rsid w:val="45B13395"/>
    <w:rsid w:val="45B7124C"/>
    <w:rsid w:val="45C821B4"/>
    <w:rsid w:val="45D56034"/>
    <w:rsid w:val="45D91F37"/>
    <w:rsid w:val="45F504C0"/>
    <w:rsid w:val="46031B63"/>
    <w:rsid w:val="460D187E"/>
    <w:rsid w:val="460F311B"/>
    <w:rsid w:val="46136597"/>
    <w:rsid w:val="461B219A"/>
    <w:rsid w:val="461D2956"/>
    <w:rsid w:val="461F52B8"/>
    <w:rsid w:val="46305A00"/>
    <w:rsid w:val="46325874"/>
    <w:rsid w:val="46350B40"/>
    <w:rsid w:val="463719EC"/>
    <w:rsid w:val="463942E8"/>
    <w:rsid w:val="463D622A"/>
    <w:rsid w:val="46514ADC"/>
    <w:rsid w:val="466657E7"/>
    <w:rsid w:val="4682150A"/>
    <w:rsid w:val="46A87C32"/>
    <w:rsid w:val="46CF019C"/>
    <w:rsid w:val="46EB6BD7"/>
    <w:rsid w:val="46F47FD3"/>
    <w:rsid w:val="46FB375A"/>
    <w:rsid w:val="471D1C23"/>
    <w:rsid w:val="4725355E"/>
    <w:rsid w:val="472D6841"/>
    <w:rsid w:val="47441367"/>
    <w:rsid w:val="47763B17"/>
    <w:rsid w:val="477C305E"/>
    <w:rsid w:val="478302AC"/>
    <w:rsid w:val="47877F3B"/>
    <w:rsid w:val="47981171"/>
    <w:rsid w:val="47A32E94"/>
    <w:rsid w:val="47B36C5D"/>
    <w:rsid w:val="47DB2B2D"/>
    <w:rsid w:val="47EB3979"/>
    <w:rsid w:val="47F904F4"/>
    <w:rsid w:val="47FF24B1"/>
    <w:rsid w:val="48044E53"/>
    <w:rsid w:val="480F76B8"/>
    <w:rsid w:val="48256A4B"/>
    <w:rsid w:val="482A09F3"/>
    <w:rsid w:val="482B5BE3"/>
    <w:rsid w:val="482D2279"/>
    <w:rsid w:val="483C789B"/>
    <w:rsid w:val="486A516B"/>
    <w:rsid w:val="48793DEB"/>
    <w:rsid w:val="48851501"/>
    <w:rsid w:val="488624B4"/>
    <w:rsid w:val="489D6A80"/>
    <w:rsid w:val="48CF7758"/>
    <w:rsid w:val="48D552F6"/>
    <w:rsid w:val="48D60093"/>
    <w:rsid w:val="48EC4CC6"/>
    <w:rsid w:val="48F646B5"/>
    <w:rsid w:val="49285646"/>
    <w:rsid w:val="49292711"/>
    <w:rsid w:val="492D6809"/>
    <w:rsid w:val="493F1236"/>
    <w:rsid w:val="494602A3"/>
    <w:rsid w:val="496D0D84"/>
    <w:rsid w:val="497439D3"/>
    <w:rsid w:val="497E0FB3"/>
    <w:rsid w:val="498344CA"/>
    <w:rsid w:val="49BE4245"/>
    <w:rsid w:val="49C84060"/>
    <w:rsid w:val="49CC1814"/>
    <w:rsid w:val="49E23481"/>
    <w:rsid w:val="49F40CA7"/>
    <w:rsid w:val="49FD5889"/>
    <w:rsid w:val="4A071413"/>
    <w:rsid w:val="4A103B07"/>
    <w:rsid w:val="4A2D2FBF"/>
    <w:rsid w:val="4A4241DC"/>
    <w:rsid w:val="4A434D99"/>
    <w:rsid w:val="4A4D3C2E"/>
    <w:rsid w:val="4A622DAD"/>
    <w:rsid w:val="4A68792F"/>
    <w:rsid w:val="4A7F20A8"/>
    <w:rsid w:val="4A843242"/>
    <w:rsid w:val="4A8A7AA4"/>
    <w:rsid w:val="4A8B09B4"/>
    <w:rsid w:val="4A9305F9"/>
    <w:rsid w:val="4ACB51D9"/>
    <w:rsid w:val="4AE7674D"/>
    <w:rsid w:val="4AEB249C"/>
    <w:rsid w:val="4AF22A91"/>
    <w:rsid w:val="4B02305E"/>
    <w:rsid w:val="4B1027CF"/>
    <w:rsid w:val="4B195DAD"/>
    <w:rsid w:val="4B2530EA"/>
    <w:rsid w:val="4B995449"/>
    <w:rsid w:val="4B9F16AD"/>
    <w:rsid w:val="4BA57EE7"/>
    <w:rsid w:val="4BA80E0C"/>
    <w:rsid w:val="4BB37F1B"/>
    <w:rsid w:val="4BC15CBD"/>
    <w:rsid w:val="4BEC4B93"/>
    <w:rsid w:val="4BEF1673"/>
    <w:rsid w:val="4BF74D85"/>
    <w:rsid w:val="4BFB6F0B"/>
    <w:rsid w:val="4C2757C1"/>
    <w:rsid w:val="4C2D6679"/>
    <w:rsid w:val="4C6116C4"/>
    <w:rsid w:val="4C7368D4"/>
    <w:rsid w:val="4C96512E"/>
    <w:rsid w:val="4CAC1AE2"/>
    <w:rsid w:val="4CB85304"/>
    <w:rsid w:val="4CDF300C"/>
    <w:rsid w:val="4D1B2FBA"/>
    <w:rsid w:val="4D353896"/>
    <w:rsid w:val="4D5B06A2"/>
    <w:rsid w:val="4D5B63A3"/>
    <w:rsid w:val="4D655D09"/>
    <w:rsid w:val="4D6E4BC3"/>
    <w:rsid w:val="4D720EA9"/>
    <w:rsid w:val="4D720FBC"/>
    <w:rsid w:val="4D91003F"/>
    <w:rsid w:val="4DA11A13"/>
    <w:rsid w:val="4DA15C4D"/>
    <w:rsid w:val="4DB82B3C"/>
    <w:rsid w:val="4DCC5526"/>
    <w:rsid w:val="4DE07736"/>
    <w:rsid w:val="4DE86282"/>
    <w:rsid w:val="4DE91688"/>
    <w:rsid w:val="4DFC7822"/>
    <w:rsid w:val="4DFD0A35"/>
    <w:rsid w:val="4E395A6F"/>
    <w:rsid w:val="4E5717E9"/>
    <w:rsid w:val="4E5773D1"/>
    <w:rsid w:val="4E622F58"/>
    <w:rsid w:val="4E6D3832"/>
    <w:rsid w:val="4EB37EBE"/>
    <w:rsid w:val="4EC93852"/>
    <w:rsid w:val="4EED1AD7"/>
    <w:rsid w:val="4EF6519A"/>
    <w:rsid w:val="4EFF64C7"/>
    <w:rsid w:val="4F1E3519"/>
    <w:rsid w:val="4F3276F7"/>
    <w:rsid w:val="4F3A2D3B"/>
    <w:rsid w:val="4F3E09B5"/>
    <w:rsid w:val="4F5B0F7A"/>
    <w:rsid w:val="4F7750EF"/>
    <w:rsid w:val="4F8667F3"/>
    <w:rsid w:val="4FAA2859"/>
    <w:rsid w:val="4FB85CB0"/>
    <w:rsid w:val="4FC15772"/>
    <w:rsid w:val="4FCB162E"/>
    <w:rsid w:val="4FD27D4B"/>
    <w:rsid w:val="4FD34A7C"/>
    <w:rsid w:val="4FD42D63"/>
    <w:rsid w:val="4FDC744F"/>
    <w:rsid w:val="4FE7224F"/>
    <w:rsid w:val="50341F41"/>
    <w:rsid w:val="505B571D"/>
    <w:rsid w:val="50781DC3"/>
    <w:rsid w:val="507D1BD9"/>
    <w:rsid w:val="508D70D7"/>
    <w:rsid w:val="50951191"/>
    <w:rsid w:val="509F3E81"/>
    <w:rsid w:val="50CC230E"/>
    <w:rsid w:val="50E85F74"/>
    <w:rsid w:val="50ED6C36"/>
    <w:rsid w:val="512018B9"/>
    <w:rsid w:val="516075A9"/>
    <w:rsid w:val="516908FB"/>
    <w:rsid w:val="516D2A16"/>
    <w:rsid w:val="517C3442"/>
    <w:rsid w:val="5186683A"/>
    <w:rsid w:val="518917A0"/>
    <w:rsid w:val="519612DF"/>
    <w:rsid w:val="5197160B"/>
    <w:rsid w:val="51A23CD6"/>
    <w:rsid w:val="51A92D14"/>
    <w:rsid w:val="51C024A8"/>
    <w:rsid w:val="51CF5F6F"/>
    <w:rsid w:val="51E71AB0"/>
    <w:rsid w:val="51F64992"/>
    <w:rsid w:val="52025E38"/>
    <w:rsid w:val="520D7353"/>
    <w:rsid w:val="52140BB8"/>
    <w:rsid w:val="521D0471"/>
    <w:rsid w:val="523D16A6"/>
    <w:rsid w:val="523E48B2"/>
    <w:rsid w:val="524308F0"/>
    <w:rsid w:val="524601B7"/>
    <w:rsid w:val="52564962"/>
    <w:rsid w:val="527330AC"/>
    <w:rsid w:val="5281617A"/>
    <w:rsid w:val="52B04408"/>
    <w:rsid w:val="52D23FCC"/>
    <w:rsid w:val="52F9123B"/>
    <w:rsid w:val="530557BF"/>
    <w:rsid w:val="530879A9"/>
    <w:rsid w:val="530C3FDF"/>
    <w:rsid w:val="532D7D83"/>
    <w:rsid w:val="5332232C"/>
    <w:rsid w:val="533D4299"/>
    <w:rsid w:val="5345621A"/>
    <w:rsid w:val="53571862"/>
    <w:rsid w:val="53741237"/>
    <w:rsid w:val="537A11B1"/>
    <w:rsid w:val="539D36AC"/>
    <w:rsid w:val="53A41F83"/>
    <w:rsid w:val="53AC09E2"/>
    <w:rsid w:val="53B1044C"/>
    <w:rsid w:val="53B47787"/>
    <w:rsid w:val="53E3585F"/>
    <w:rsid w:val="540E752A"/>
    <w:rsid w:val="542408D1"/>
    <w:rsid w:val="542C7DEC"/>
    <w:rsid w:val="54423797"/>
    <w:rsid w:val="546668E0"/>
    <w:rsid w:val="5467033F"/>
    <w:rsid w:val="547F3208"/>
    <w:rsid w:val="54834F7E"/>
    <w:rsid w:val="548D690F"/>
    <w:rsid w:val="54925176"/>
    <w:rsid w:val="55045232"/>
    <w:rsid w:val="552B0F67"/>
    <w:rsid w:val="553378C7"/>
    <w:rsid w:val="555E5F4D"/>
    <w:rsid w:val="556021D3"/>
    <w:rsid w:val="55837092"/>
    <w:rsid w:val="558E35A4"/>
    <w:rsid w:val="559E0479"/>
    <w:rsid w:val="55A37FDE"/>
    <w:rsid w:val="55A57091"/>
    <w:rsid w:val="55B97E46"/>
    <w:rsid w:val="55E17E86"/>
    <w:rsid w:val="561F5214"/>
    <w:rsid w:val="5662132C"/>
    <w:rsid w:val="56692568"/>
    <w:rsid w:val="56810989"/>
    <w:rsid w:val="56D06F00"/>
    <w:rsid w:val="56FA41C8"/>
    <w:rsid w:val="57117E4F"/>
    <w:rsid w:val="57251050"/>
    <w:rsid w:val="57360DDD"/>
    <w:rsid w:val="573B45B5"/>
    <w:rsid w:val="573E4E9B"/>
    <w:rsid w:val="574023BF"/>
    <w:rsid w:val="574C1837"/>
    <w:rsid w:val="57536B56"/>
    <w:rsid w:val="5759444D"/>
    <w:rsid w:val="57643AAE"/>
    <w:rsid w:val="57657111"/>
    <w:rsid w:val="57664679"/>
    <w:rsid w:val="578952E2"/>
    <w:rsid w:val="579F57BB"/>
    <w:rsid w:val="57A3403C"/>
    <w:rsid w:val="57B127AF"/>
    <w:rsid w:val="57E227D6"/>
    <w:rsid w:val="57E70023"/>
    <w:rsid w:val="58365396"/>
    <w:rsid w:val="584002E4"/>
    <w:rsid w:val="58420414"/>
    <w:rsid w:val="585A136F"/>
    <w:rsid w:val="586110CB"/>
    <w:rsid w:val="586B6182"/>
    <w:rsid w:val="586F597E"/>
    <w:rsid w:val="589703EE"/>
    <w:rsid w:val="589B09A3"/>
    <w:rsid w:val="58A86866"/>
    <w:rsid w:val="58AB3786"/>
    <w:rsid w:val="58B03A2D"/>
    <w:rsid w:val="58EB3104"/>
    <w:rsid w:val="58F42835"/>
    <w:rsid w:val="58F51D77"/>
    <w:rsid w:val="591C39C6"/>
    <w:rsid w:val="594D3F0B"/>
    <w:rsid w:val="59610B91"/>
    <w:rsid w:val="597A1E54"/>
    <w:rsid w:val="598A3E21"/>
    <w:rsid w:val="598D4045"/>
    <w:rsid w:val="59941C5E"/>
    <w:rsid w:val="59A70E25"/>
    <w:rsid w:val="59B648A9"/>
    <w:rsid w:val="59CD5EDF"/>
    <w:rsid w:val="59D07B13"/>
    <w:rsid w:val="5A14387A"/>
    <w:rsid w:val="5A3F09F0"/>
    <w:rsid w:val="5A417DC6"/>
    <w:rsid w:val="5A425854"/>
    <w:rsid w:val="5A4417C4"/>
    <w:rsid w:val="5A482D10"/>
    <w:rsid w:val="5A5F295E"/>
    <w:rsid w:val="5A696815"/>
    <w:rsid w:val="5A72766D"/>
    <w:rsid w:val="5A7A08A4"/>
    <w:rsid w:val="5A7E5764"/>
    <w:rsid w:val="5A842E4B"/>
    <w:rsid w:val="5A852496"/>
    <w:rsid w:val="5AAF520B"/>
    <w:rsid w:val="5AB2235D"/>
    <w:rsid w:val="5ABB0B14"/>
    <w:rsid w:val="5AC333AE"/>
    <w:rsid w:val="5AC96762"/>
    <w:rsid w:val="5AD21311"/>
    <w:rsid w:val="5AE35386"/>
    <w:rsid w:val="5AEE5F07"/>
    <w:rsid w:val="5AF7225F"/>
    <w:rsid w:val="5AFC59E7"/>
    <w:rsid w:val="5B0247FD"/>
    <w:rsid w:val="5B06050B"/>
    <w:rsid w:val="5B18229A"/>
    <w:rsid w:val="5B49418C"/>
    <w:rsid w:val="5B581CAC"/>
    <w:rsid w:val="5B635A4F"/>
    <w:rsid w:val="5BB0383B"/>
    <w:rsid w:val="5BB23343"/>
    <w:rsid w:val="5C0459E6"/>
    <w:rsid w:val="5C074270"/>
    <w:rsid w:val="5C0E6B30"/>
    <w:rsid w:val="5C18403B"/>
    <w:rsid w:val="5C314279"/>
    <w:rsid w:val="5C5D3753"/>
    <w:rsid w:val="5C7C2951"/>
    <w:rsid w:val="5C870590"/>
    <w:rsid w:val="5C8A1644"/>
    <w:rsid w:val="5C907324"/>
    <w:rsid w:val="5CA26E88"/>
    <w:rsid w:val="5CB03240"/>
    <w:rsid w:val="5CB83F54"/>
    <w:rsid w:val="5CDD6021"/>
    <w:rsid w:val="5CF7717A"/>
    <w:rsid w:val="5CFE7195"/>
    <w:rsid w:val="5D027039"/>
    <w:rsid w:val="5D03654F"/>
    <w:rsid w:val="5D1B6D78"/>
    <w:rsid w:val="5D223FE5"/>
    <w:rsid w:val="5D242E0B"/>
    <w:rsid w:val="5D2C6C00"/>
    <w:rsid w:val="5D4C2408"/>
    <w:rsid w:val="5D614F4B"/>
    <w:rsid w:val="5D713221"/>
    <w:rsid w:val="5D732E76"/>
    <w:rsid w:val="5D836BFB"/>
    <w:rsid w:val="5D8B084B"/>
    <w:rsid w:val="5D986E79"/>
    <w:rsid w:val="5DA20AB2"/>
    <w:rsid w:val="5DC25A41"/>
    <w:rsid w:val="5DC826B1"/>
    <w:rsid w:val="5DE13052"/>
    <w:rsid w:val="5DF317DD"/>
    <w:rsid w:val="5DFD1FCE"/>
    <w:rsid w:val="5E0D11A1"/>
    <w:rsid w:val="5E33042E"/>
    <w:rsid w:val="5E484FC7"/>
    <w:rsid w:val="5E592371"/>
    <w:rsid w:val="5E8A75EE"/>
    <w:rsid w:val="5E8E3A3D"/>
    <w:rsid w:val="5E950F2C"/>
    <w:rsid w:val="5EBB52F8"/>
    <w:rsid w:val="5ECC425A"/>
    <w:rsid w:val="5ED40111"/>
    <w:rsid w:val="5ED75657"/>
    <w:rsid w:val="5EDB0B91"/>
    <w:rsid w:val="5EDC5438"/>
    <w:rsid w:val="5EDF5613"/>
    <w:rsid w:val="5EEE03BA"/>
    <w:rsid w:val="5EF32962"/>
    <w:rsid w:val="5F0207F0"/>
    <w:rsid w:val="5F041ADA"/>
    <w:rsid w:val="5F1C1E08"/>
    <w:rsid w:val="5F226188"/>
    <w:rsid w:val="5F2C3FCE"/>
    <w:rsid w:val="5F37629E"/>
    <w:rsid w:val="5F441A6A"/>
    <w:rsid w:val="5F4B3496"/>
    <w:rsid w:val="5F522973"/>
    <w:rsid w:val="5F7908AD"/>
    <w:rsid w:val="5F882E38"/>
    <w:rsid w:val="5F8D37FA"/>
    <w:rsid w:val="5F9914CB"/>
    <w:rsid w:val="5FAF0DF2"/>
    <w:rsid w:val="5FBC0B8C"/>
    <w:rsid w:val="5FD364DE"/>
    <w:rsid w:val="60042E97"/>
    <w:rsid w:val="6004794B"/>
    <w:rsid w:val="600849A0"/>
    <w:rsid w:val="600A4FE9"/>
    <w:rsid w:val="600F0166"/>
    <w:rsid w:val="605824C2"/>
    <w:rsid w:val="60607A98"/>
    <w:rsid w:val="608F4BF6"/>
    <w:rsid w:val="60A96B3B"/>
    <w:rsid w:val="60B123A5"/>
    <w:rsid w:val="60E77CB0"/>
    <w:rsid w:val="6104790E"/>
    <w:rsid w:val="610A7D63"/>
    <w:rsid w:val="611C2B01"/>
    <w:rsid w:val="61273935"/>
    <w:rsid w:val="612A5119"/>
    <w:rsid w:val="612D5D82"/>
    <w:rsid w:val="61566D0F"/>
    <w:rsid w:val="61882BF7"/>
    <w:rsid w:val="618940EA"/>
    <w:rsid w:val="618C0661"/>
    <w:rsid w:val="61C85107"/>
    <w:rsid w:val="61CD4CA8"/>
    <w:rsid w:val="61D22D3A"/>
    <w:rsid w:val="61D4324D"/>
    <w:rsid w:val="61E161B1"/>
    <w:rsid w:val="61F05671"/>
    <w:rsid w:val="620F162B"/>
    <w:rsid w:val="622B4C95"/>
    <w:rsid w:val="623B5BE9"/>
    <w:rsid w:val="6243060C"/>
    <w:rsid w:val="628359A1"/>
    <w:rsid w:val="629843F6"/>
    <w:rsid w:val="62B51146"/>
    <w:rsid w:val="62BA7DC4"/>
    <w:rsid w:val="62C52B1C"/>
    <w:rsid w:val="62C667FA"/>
    <w:rsid w:val="62F755D0"/>
    <w:rsid w:val="63076563"/>
    <w:rsid w:val="636D14CA"/>
    <w:rsid w:val="636D19CA"/>
    <w:rsid w:val="639931F6"/>
    <w:rsid w:val="6399640D"/>
    <w:rsid w:val="63A21847"/>
    <w:rsid w:val="63AB55B7"/>
    <w:rsid w:val="63C8296A"/>
    <w:rsid w:val="63DB6CD7"/>
    <w:rsid w:val="63E45FD9"/>
    <w:rsid w:val="63ED0555"/>
    <w:rsid w:val="63F17186"/>
    <w:rsid w:val="641A4EEE"/>
    <w:rsid w:val="64257A15"/>
    <w:rsid w:val="642B4FAA"/>
    <w:rsid w:val="644033F8"/>
    <w:rsid w:val="64570C2A"/>
    <w:rsid w:val="645C3EBA"/>
    <w:rsid w:val="64696DB9"/>
    <w:rsid w:val="64A62173"/>
    <w:rsid w:val="64D42076"/>
    <w:rsid w:val="64D9742C"/>
    <w:rsid w:val="64EC3F53"/>
    <w:rsid w:val="650108C0"/>
    <w:rsid w:val="65030B1D"/>
    <w:rsid w:val="651B57F9"/>
    <w:rsid w:val="651F07A9"/>
    <w:rsid w:val="652515C6"/>
    <w:rsid w:val="653347BC"/>
    <w:rsid w:val="65345E28"/>
    <w:rsid w:val="65480904"/>
    <w:rsid w:val="65495A20"/>
    <w:rsid w:val="65820CD3"/>
    <w:rsid w:val="658F7DF4"/>
    <w:rsid w:val="65992ED5"/>
    <w:rsid w:val="65A900AC"/>
    <w:rsid w:val="65D20BF2"/>
    <w:rsid w:val="65DA7CFD"/>
    <w:rsid w:val="65F24FCC"/>
    <w:rsid w:val="66186E2F"/>
    <w:rsid w:val="661B008F"/>
    <w:rsid w:val="66212453"/>
    <w:rsid w:val="664005ED"/>
    <w:rsid w:val="664D34C6"/>
    <w:rsid w:val="665C34AA"/>
    <w:rsid w:val="6670690B"/>
    <w:rsid w:val="667E0C78"/>
    <w:rsid w:val="668054E3"/>
    <w:rsid w:val="6684122F"/>
    <w:rsid w:val="66845A03"/>
    <w:rsid w:val="66A82E51"/>
    <w:rsid w:val="66A92AFC"/>
    <w:rsid w:val="66D30D13"/>
    <w:rsid w:val="66D3387F"/>
    <w:rsid w:val="67170190"/>
    <w:rsid w:val="671B3977"/>
    <w:rsid w:val="672951E5"/>
    <w:rsid w:val="672C3A07"/>
    <w:rsid w:val="67585EEE"/>
    <w:rsid w:val="675C2C96"/>
    <w:rsid w:val="67653BA9"/>
    <w:rsid w:val="67713BBB"/>
    <w:rsid w:val="678B3650"/>
    <w:rsid w:val="6792350E"/>
    <w:rsid w:val="67960DAD"/>
    <w:rsid w:val="67C30135"/>
    <w:rsid w:val="67ED059D"/>
    <w:rsid w:val="680317AB"/>
    <w:rsid w:val="680E0D3E"/>
    <w:rsid w:val="684753ED"/>
    <w:rsid w:val="684C74AF"/>
    <w:rsid w:val="68595F2E"/>
    <w:rsid w:val="685F6266"/>
    <w:rsid w:val="686A18A6"/>
    <w:rsid w:val="68844BC4"/>
    <w:rsid w:val="6889115B"/>
    <w:rsid w:val="689828FE"/>
    <w:rsid w:val="68990250"/>
    <w:rsid w:val="68A06F11"/>
    <w:rsid w:val="68C0467E"/>
    <w:rsid w:val="68E06177"/>
    <w:rsid w:val="68F94DF1"/>
    <w:rsid w:val="694249ED"/>
    <w:rsid w:val="697530ED"/>
    <w:rsid w:val="697D6DE2"/>
    <w:rsid w:val="69831AA4"/>
    <w:rsid w:val="698563CF"/>
    <w:rsid w:val="69962275"/>
    <w:rsid w:val="69963A7E"/>
    <w:rsid w:val="699D0CDD"/>
    <w:rsid w:val="69B7081A"/>
    <w:rsid w:val="69CE4DE7"/>
    <w:rsid w:val="69D96B22"/>
    <w:rsid w:val="69DA34A1"/>
    <w:rsid w:val="69EB1A62"/>
    <w:rsid w:val="6A0C3B75"/>
    <w:rsid w:val="6A222299"/>
    <w:rsid w:val="6A2E0B89"/>
    <w:rsid w:val="6A3A43A2"/>
    <w:rsid w:val="6A511D39"/>
    <w:rsid w:val="6A536921"/>
    <w:rsid w:val="6A7C2DC3"/>
    <w:rsid w:val="6A826E77"/>
    <w:rsid w:val="6AA0166C"/>
    <w:rsid w:val="6AA62733"/>
    <w:rsid w:val="6AA86522"/>
    <w:rsid w:val="6AAB7DFE"/>
    <w:rsid w:val="6AB136F1"/>
    <w:rsid w:val="6ABD3C52"/>
    <w:rsid w:val="6AC903C9"/>
    <w:rsid w:val="6AC931B7"/>
    <w:rsid w:val="6AD37265"/>
    <w:rsid w:val="6AE10386"/>
    <w:rsid w:val="6AF27841"/>
    <w:rsid w:val="6AFC7DA0"/>
    <w:rsid w:val="6B022D0A"/>
    <w:rsid w:val="6B2240F2"/>
    <w:rsid w:val="6B232DE3"/>
    <w:rsid w:val="6B2D426D"/>
    <w:rsid w:val="6B2F3F9E"/>
    <w:rsid w:val="6B374286"/>
    <w:rsid w:val="6B532E85"/>
    <w:rsid w:val="6B6C01B4"/>
    <w:rsid w:val="6B9665A7"/>
    <w:rsid w:val="6BF4356F"/>
    <w:rsid w:val="6C3606FD"/>
    <w:rsid w:val="6C59286B"/>
    <w:rsid w:val="6C7C5C9C"/>
    <w:rsid w:val="6C98148D"/>
    <w:rsid w:val="6C9D66C4"/>
    <w:rsid w:val="6CA4425E"/>
    <w:rsid w:val="6CB27F4D"/>
    <w:rsid w:val="6CBB2936"/>
    <w:rsid w:val="6CC0750B"/>
    <w:rsid w:val="6CC853CF"/>
    <w:rsid w:val="6CD2613D"/>
    <w:rsid w:val="6CDE5D91"/>
    <w:rsid w:val="6D006A18"/>
    <w:rsid w:val="6D0D56FB"/>
    <w:rsid w:val="6D137C6B"/>
    <w:rsid w:val="6D202B40"/>
    <w:rsid w:val="6D253C41"/>
    <w:rsid w:val="6D262E86"/>
    <w:rsid w:val="6D2D1632"/>
    <w:rsid w:val="6D3814A7"/>
    <w:rsid w:val="6D54004C"/>
    <w:rsid w:val="6D6A399F"/>
    <w:rsid w:val="6D7B24F3"/>
    <w:rsid w:val="6D7B7B1E"/>
    <w:rsid w:val="6D7C1117"/>
    <w:rsid w:val="6DA21C49"/>
    <w:rsid w:val="6DAF7B03"/>
    <w:rsid w:val="6DE51C5A"/>
    <w:rsid w:val="6E0A07F4"/>
    <w:rsid w:val="6E0E3A24"/>
    <w:rsid w:val="6E1407E5"/>
    <w:rsid w:val="6E283759"/>
    <w:rsid w:val="6E4512B7"/>
    <w:rsid w:val="6E516A14"/>
    <w:rsid w:val="6E555AED"/>
    <w:rsid w:val="6E8D2D29"/>
    <w:rsid w:val="6E9338F7"/>
    <w:rsid w:val="6E9D55F9"/>
    <w:rsid w:val="6EA23BFC"/>
    <w:rsid w:val="6EB0781B"/>
    <w:rsid w:val="6EC07126"/>
    <w:rsid w:val="6ECE2678"/>
    <w:rsid w:val="6ED949FF"/>
    <w:rsid w:val="6EDD15A0"/>
    <w:rsid w:val="6EDE205D"/>
    <w:rsid w:val="6EE457C1"/>
    <w:rsid w:val="6EED6074"/>
    <w:rsid w:val="6EF404F2"/>
    <w:rsid w:val="6F061E7E"/>
    <w:rsid w:val="6F072DDF"/>
    <w:rsid w:val="6F084719"/>
    <w:rsid w:val="6F09347B"/>
    <w:rsid w:val="6F3941FB"/>
    <w:rsid w:val="6F3E4ACD"/>
    <w:rsid w:val="6F5479B2"/>
    <w:rsid w:val="6F8058F1"/>
    <w:rsid w:val="6F8852FB"/>
    <w:rsid w:val="6F985DCB"/>
    <w:rsid w:val="6FAD72E5"/>
    <w:rsid w:val="6FB05D30"/>
    <w:rsid w:val="6FB77D13"/>
    <w:rsid w:val="6FCB3C20"/>
    <w:rsid w:val="6FDA2256"/>
    <w:rsid w:val="6FDC6DF5"/>
    <w:rsid w:val="6FDF355A"/>
    <w:rsid w:val="6FED3D15"/>
    <w:rsid w:val="6FF40029"/>
    <w:rsid w:val="6FFF0878"/>
    <w:rsid w:val="700257EA"/>
    <w:rsid w:val="70126FE0"/>
    <w:rsid w:val="7014744F"/>
    <w:rsid w:val="7018194C"/>
    <w:rsid w:val="701A410A"/>
    <w:rsid w:val="70215195"/>
    <w:rsid w:val="704A7458"/>
    <w:rsid w:val="704F7617"/>
    <w:rsid w:val="70526808"/>
    <w:rsid w:val="705B4388"/>
    <w:rsid w:val="705F0AD7"/>
    <w:rsid w:val="70824E4E"/>
    <w:rsid w:val="70925828"/>
    <w:rsid w:val="709D63BB"/>
    <w:rsid w:val="70A6410E"/>
    <w:rsid w:val="70B67EDB"/>
    <w:rsid w:val="70BD46AE"/>
    <w:rsid w:val="70BE247D"/>
    <w:rsid w:val="70D11A68"/>
    <w:rsid w:val="70E84B35"/>
    <w:rsid w:val="70E92389"/>
    <w:rsid w:val="70EB5894"/>
    <w:rsid w:val="70F944E0"/>
    <w:rsid w:val="713004A2"/>
    <w:rsid w:val="71304B5B"/>
    <w:rsid w:val="714162BB"/>
    <w:rsid w:val="71476119"/>
    <w:rsid w:val="717538BF"/>
    <w:rsid w:val="719618BD"/>
    <w:rsid w:val="719D4BCA"/>
    <w:rsid w:val="71A43664"/>
    <w:rsid w:val="71A75A18"/>
    <w:rsid w:val="71B14528"/>
    <w:rsid w:val="71B65F53"/>
    <w:rsid w:val="71BB2A92"/>
    <w:rsid w:val="71E9766A"/>
    <w:rsid w:val="720A1DF0"/>
    <w:rsid w:val="720C099F"/>
    <w:rsid w:val="722C3656"/>
    <w:rsid w:val="7231270B"/>
    <w:rsid w:val="723E2905"/>
    <w:rsid w:val="7257032A"/>
    <w:rsid w:val="725C7458"/>
    <w:rsid w:val="726C604A"/>
    <w:rsid w:val="728E6268"/>
    <w:rsid w:val="72967F10"/>
    <w:rsid w:val="72A23F93"/>
    <w:rsid w:val="72E60BE9"/>
    <w:rsid w:val="73033F31"/>
    <w:rsid w:val="730C0A7D"/>
    <w:rsid w:val="731E0DFE"/>
    <w:rsid w:val="732C7EA7"/>
    <w:rsid w:val="733604C7"/>
    <w:rsid w:val="733C37B8"/>
    <w:rsid w:val="735B0505"/>
    <w:rsid w:val="73667214"/>
    <w:rsid w:val="736F7898"/>
    <w:rsid w:val="73894F55"/>
    <w:rsid w:val="73997802"/>
    <w:rsid w:val="73C075A4"/>
    <w:rsid w:val="73C529BF"/>
    <w:rsid w:val="73C76302"/>
    <w:rsid w:val="74167B22"/>
    <w:rsid w:val="7443696A"/>
    <w:rsid w:val="74446677"/>
    <w:rsid w:val="745E1790"/>
    <w:rsid w:val="74605F5D"/>
    <w:rsid w:val="74724C5B"/>
    <w:rsid w:val="747B2CA3"/>
    <w:rsid w:val="747E02CA"/>
    <w:rsid w:val="74A364EB"/>
    <w:rsid w:val="751366A6"/>
    <w:rsid w:val="753358A5"/>
    <w:rsid w:val="753B011F"/>
    <w:rsid w:val="754B0383"/>
    <w:rsid w:val="754B0B9A"/>
    <w:rsid w:val="755F5458"/>
    <w:rsid w:val="756D09AB"/>
    <w:rsid w:val="757168D1"/>
    <w:rsid w:val="757B0F60"/>
    <w:rsid w:val="758D7DE4"/>
    <w:rsid w:val="75B11850"/>
    <w:rsid w:val="75C50EBF"/>
    <w:rsid w:val="75E54DFE"/>
    <w:rsid w:val="76252A3A"/>
    <w:rsid w:val="762F3B65"/>
    <w:rsid w:val="763F7571"/>
    <w:rsid w:val="76786C61"/>
    <w:rsid w:val="767E0187"/>
    <w:rsid w:val="76932A8E"/>
    <w:rsid w:val="76C3047F"/>
    <w:rsid w:val="76C618C6"/>
    <w:rsid w:val="76C70D05"/>
    <w:rsid w:val="76DF6872"/>
    <w:rsid w:val="76E15971"/>
    <w:rsid w:val="76F5206D"/>
    <w:rsid w:val="76F70165"/>
    <w:rsid w:val="77011A99"/>
    <w:rsid w:val="771717B6"/>
    <w:rsid w:val="77260BC0"/>
    <w:rsid w:val="77273A16"/>
    <w:rsid w:val="773E5697"/>
    <w:rsid w:val="77545255"/>
    <w:rsid w:val="77666214"/>
    <w:rsid w:val="77DD719D"/>
    <w:rsid w:val="77ED50AC"/>
    <w:rsid w:val="782D7DFC"/>
    <w:rsid w:val="78460111"/>
    <w:rsid w:val="78574258"/>
    <w:rsid w:val="78586819"/>
    <w:rsid w:val="786446D7"/>
    <w:rsid w:val="787D0312"/>
    <w:rsid w:val="7894543C"/>
    <w:rsid w:val="78AD538C"/>
    <w:rsid w:val="78B167EB"/>
    <w:rsid w:val="78B3709C"/>
    <w:rsid w:val="78B77889"/>
    <w:rsid w:val="78F87059"/>
    <w:rsid w:val="79154191"/>
    <w:rsid w:val="792F04E7"/>
    <w:rsid w:val="794C2006"/>
    <w:rsid w:val="79522198"/>
    <w:rsid w:val="79566733"/>
    <w:rsid w:val="79615C81"/>
    <w:rsid w:val="798435C7"/>
    <w:rsid w:val="79A64475"/>
    <w:rsid w:val="79AD1BDA"/>
    <w:rsid w:val="79F2166C"/>
    <w:rsid w:val="79F5228A"/>
    <w:rsid w:val="79FC2D52"/>
    <w:rsid w:val="7A245323"/>
    <w:rsid w:val="7A4460F5"/>
    <w:rsid w:val="7A4D6D69"/>
    <w:rsid w:val="7A5B09D0"/>
    <w:rsid w:val="7A5F33F6"/>
    <w:rsid w:val="7A656843"/>
    <w:rsid w:val="7AB76462"/>
    <w:rsid w:val="7AD4322D"/>
    <w:rsid w:val="7B0F482E"/>
    <w:rsid w:val="7B2151B3"/>
    <w:rsid w:val="7B2D2F5B"/>
    <w:rsid w:val="7B3065AF"/>
    <w:rsid w:val="7B3505A0"/>
    <w:rsid w:val="7B3E2022"/>
    <w:rsid w:val="7B564FED"/>
    <w:rsid w:val="7B7E4471"/>
    <w:rsid w:val="7B955D8B"/>
    <w:rsid w:val="7B972F1B"/>
    <w:rsid w:val="7BAA414B"/>
    <w:rsid w:val="7BB6589C"/>
    <w:rsid w:val="7BBD4DF6"/>
    <w:rsid w:val="7BC91749"/>
    <w:rsid w:val="7BDD6263"/>
    <w:rsid w:val="7BFA3DF9"/>
    <w:rsid w:val="7C172FF1"/>
    <w:rsid w:val="7C176F20"/>
    <w:rsid w:val="7C1C23A1"/>
    <w:rsid w:val="7C21143D"/>
    <w:rsid w:val="7C281D30"/>
    <w:rsid w:val="7C2E0ADF"/>
    <w:rsid w:val="7C4E3B17"/>
    <w:rsid w:val="7C5E52F8"/>
    <w:rsid w:val="7C631B4B"/>
    <w:rsid w:val="7C74280D"/>
    <w:rsid w:val="7C794C96"/>
    <w:rsid w:val="7CED13E5"/>
    <w:rsid w:val="7CEE7630"/>
    <w:rsid w:val="7D02288D"/>
    <w:rsid w:val="7D343EDF"/>
    <w:rsid w:val="7D4016F0"/>
    <w:rsid w:val="7D48582C"/>
    <w:rsid w:val="7D662E29"/>
    <w:rsid w:val="7D7D1B1D"/>
    <w:rsid w:val="7D852BC1"/>
    <w:rsid w:val="7D9139FD"/>
    <w:rsid w:val="7DA41722"/>
    <w:rsid w:val="7DA855E0"/>
    <w:rsid w:val="7DAF29EC"/>
    <w:rsid w:val="7DB50701"/>
    <w:rsid w:val="7DD90066"/>
    <w:rsid w:val="7DD9385E"/>
    <w:rsid w:val="7DE4076E"/>
    <w:rsid w:val="7DF93235"/>
    <w:rsid w:val="7E053F4B"/>
    <w:rsid w:val="7E075069"/>
    <w:rsid w:val="7E0C6084"/>
    <w:rsid w:val="7E103301"/>
    <w:rsid w:val="7E180DA8"/>
    <w:rsid w:val="7E264A31"/>
    <w:rsid w:val="7E515240"/>
    <w:rsid w:val="7E531E6C"/>
    <w:rsid w:val="7E6E4510"/>
    <w:rsid w:val="7E7E6A7F"/>
    <w:rsid w:val="7E88653E"/>
    <w:rsid w:val="7EA36742"/>
    <w:rsid w:val="7EA512FC"/>
    <w:rsid w:val="7EAC57B0"/>
    <w:rsid w:val="7ECB2E74"/>
    <w:rsid w:val="7EDE2EFA"/>
    <w:rsid w:val="7EF70E2A"/>
    <w:rsid w:val="7EFA1A7A"/>
    <w:rsid w:val="7F0A651E"/>
    <w:rsid w:val="7F103349"/>
    <w:rsid w:val="7F1665D2"/>
    <w:rsid w:val="7F212CA1"/>
    <w:rsid w:val="7F2E0422"/>
    <w:rsid w:val="7F49415E"/>
    <w:rsid w:val="7F537CD2"/>
    <w:rsid w:val="7F55419A"/>
    <w:rsid w:val="7F6052AF"/>
    <w:rsid w:val="7F655C8D"/>
    <w:rsid w:val="7F6B6389"/>
    <w:rsid w:val="7F7B7309"/>
    <w:rsid w:val="7F855B4F"/>
    <w:rsid w:val="7F9A2D79"/>
    <w:rsid w:val="7FAA1810"/>
    <w:rsid w:val="7FB1655B"/>
    <w:rsid w:val="7FB22234"/>
    <w:rsid w:val="7FBC5FF0"/>
    <w:rsid w:val="7FC83D1C"/>
    <w:rsid w:val="7FC937CB"/>
    <w:rsid w:val="7FDC3DC7"/>
    <w:rsid w:val="7FF63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602" w:firstLineChars="200"/>
    </w:pPr>
    <w:rPr>
      <w:rFonts w:ascii="宋体" w:hAnsi="宋体" w:eastAsia="宋体" w:cs="宋体"/>
      <w:sz w:val="24"/>
      <w:szCs w:val="24"/>
      <w:lang w:val="en-US" w:eastAsia="zh-CN" w:bidi="ar-SA"/>
    </w:rPr>
  </w:style>
  <w:style w:type="paragraph" w:styleId="3">
    <w:name w:val="heading 1"/>
    <w:basedOn w:val="1"/>
    <w:next w:val="1"/>
    <w:link w:val="56"/>
    <w:qFormat/>
    <w:uiPriority w:val="0"/>
    <w:pPr>
      <w:keepNext/>
      <w:keepLines/>
      <w:numPr>
        <w:ilvl w:val="0"/>
        <w:numId w:val="1"/>
      </w:numPr>
      <w:spacing w:line="480" w:lineRule="auto"/>
      <w:ind w:left="0" w:firstLine="0" w:firstLineChars="0"/>
      <w:jc w:val="center"/>
      <w:outlineLvl w:val="0"/>
    </w:pPr>
    <w:rPr>
      <w:b/>
      <w:bCs/>
      <w:color w:val="000000"/>
      <w:kern w:val="44"/>
      <w:sz w:val="30"/>
      <w:szCs w:val="30"/>
    </w:rPr>
  </w:style>
  <w:style w:type="paragraph" w:styleId="4">
    <w:name w:val="heading 2"/>
    <w:basedOn w:val="1"/>
    <w:next w:val="1"/>
    <w:link w:val="57"/>
    <w:qFormat/>
    <w:uiPriority w:val="0"/>
    <w:pPr>
      <w:keepNext/>
      <w:keepLines/>
      <w:widowControl w:val="0"/>
      <w:tabs>
        <w:tab w:val="left" w:pos="426"/>
      </w:tabs>
      <w:ind w:firstLine="0" w:firstLineChars="0"/>
      <w:outlineLvl w:val="1"/>
    </w:pPr>
    <w:rPr>
      <w:b/>
      <w:bCs/>
    </w:rPr>
  </w:style>
  <w:style w:type="paragraph" w:styleId="5">
    <w:name w:val="heading 3"/>
    <w:basedOn w:val="1"/>
    <w:next w:val="1"/>
    <w:link w:val="58"/>
    <w:qFormat/>
    <w:uiPriority w:val="0"/>
    <w:pPr>
      <w:keepNext/>
      <w:keepLines/>
      <w:widowControl w:val="0"/>
      <w:tabs>
        <w:tab w:val="left" w:pos="567"/>
      </w:tabs>
      <w:ind w:firstLine="0" w:firstLineChars="0"/>
      <w:outlineLvl w:val="2"/>
    </w:pPr>
    <w:rPr>
      <w:b/>
      <w:bCs/>
      <w:kern w:val="2"/>
    </w:rPr>
  </w:style>
  <w:style w:type="paragraph" w:styleId="6">
    <w:name w:val="heading 4"/>
    <w:basedOn w:val="1"/>
    <w:next w:val="1"/>
    <w:link w:val="163"/>
    <w:qFormat/>
    <w:uiPriority w:val="0"/>
    <w:pPr>
      <w:keepNext/>
      <w:keepLines/>
      <w:widowControl w:val="0"/>
      <w:numPr>
        <w:ilvl w:val="3"/>
        <w:numId w:val="2"/>
      </w:numPr>
      <w:spacing w:before="120" w:after="120" w:line="360" w:lineRule="auto"/>
      <w:outlineLvl w:val="3"/>
    </w:pPr>
    <w:rPr>
      <w:b/>
      <w:bCs/>
      <w:sz w:val="28"/>
      <w:szCs w:val="28"/>
    </w:rPr>
  </w:style>
  <w:style w:type="paragraph" w:styleId="7">
    <w:name w:val="heading 5"/>
    <w:basedOn w:val="1"/>
    <w:next w:val="1"/>
    <w:link w:val="197"/>
    <w:qFormat/>
    <w:uiPriority w:val="0"/>
    <w:pPr>
      <w:keepNext/>
      <w:keepLines/>
      <w:widowControl w:val="0"/>
      <w:numPr>
        <w:ilvl w:val="4"/>
        <w:numId w:val="3"/>
      </w:numPr>
      <w:autoSpaceDE w:val="0"/>
      <w:autoSpaceDN w:val="0"/>
      <w:adjustRightInd w:val="0"/>
      <w:spacing w:before="280" w:after="290" w:line="376" w:lineRule="auto"/>
      <w:jc w:val="both"/>
      <w:outlineLvl w:val="4"/>
    </w:pPr>
    <w:rPr>
      <w:rFonts w:ascii="Times New Roman"/>
      <w:b/>
      <w:bCs/>
      <w:sz w:val="28"/>
      <w:szCs w:val="28"/>
    </w:rPr>
  </w:style>
  <w:style w:type="paragraph" w:styleId="8">
    <w:name w:val="heading 6"/>
    <w:basedOn w:val="1"/>
    <w:next w:val="1"/>
    <w:link w:val="198"/>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175"/>
    <w:qFormat/>
    <w:uiPriority w:val="0"/>
    <w:pPr>
      <w:keepNext/>
      <w:tabs>
        <w:tab w:val="left" w:pos="3600"/>
      </w:tabs>
      <w:spacing w:after="120"/>
      <w:outlineLvl w:val="6"/>
    </w:pPr>
    <w:rPr>
      <w:rFonts w:ascii="Arial Narrow" w:hAnsi="Arial Narrow"/>
      <w:b/>
      <w:sz w:val="20"/>
      <w:lang w:eastAsia="en-US"/>
    </w:rPr>
  </w:style>
  <w:style w:type="paragraph" w:styleId="10">
    <w:name w:val="heading 8"/>
    <w:basedOn w:val="1"/>
    <w:next w:val="1"/>
    <w:link w:val="151"/>
    <w:qFormat/>
    <w:uiPriority w:val="0"/>
    <w:pPr>
      <w:keepNext/>
      <w:keepLines/>
      <w:widowControl w:val="0"/>
      <w:spacing w:before="240" w:after="64" w:line="317" w:lineRule="auto"/>
      <w:jc w:val="both"/>
      <w:outlineLvl w:val="7"/>
    </w:pPr>
    <w:rPr>
      <w:rFonts w:ascii="Arial" w:hAnsi="Arial" w:eastAsia="黑体"/>
      <w:kern w:val="2"/>
    </w:rPr>
  </w:style>
  <w:style w:type="paragraph" w:styleId="11">
    <w:name w:val="heading 9"/>
    <w:basedOn w:val="1"/>
    <w:next w:val="1"/>
    <w:link w:val="192"/>
    <w:qFormat/>
    <w:uiPriority w:val="0"/>
    <w:pPr>
      <w:keepNext/>
      <w:keepLines/>
      <w:widowControl w:val="0"/>
      <w:spacing w:before="240" w:after="64" w:line="317" w:lineRule="auto"/>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12">
    <w:name w:val="toc 7"/>
    <w:basedOn w:val="1"/>
    <w:next w:val="1"/>
    <w:qFormat/>
    <w:uiPriority w:val="0"/>
    <w:pPr>
      <w:ind w:left="2520" w:leftChars="1200"/>
    </w:pPr>
  </w:style>
  <w:style w:type="paragraph" w:styleId="13">
    <w:name w:val="index 8"/>
    <w:basedOn w:val="1"/>
    <w:next w:val="1"/>
    <w:qFormat/>
    <w:uiPriority w:val="0"/>
    <w:pPr>
      <w:spacing w:line="276" w:lineRule="auto"/>
    </w:pPr>
    <w:rPr>
      <w:color w:val="FF0000"/>
    </w:rPr>
  </w:style>
  <w:style w:type="paragraph" w:styleId="14">
    <w:name w:val="Normal Indent"/>
    <w:basedOn w:val="1"/>
    <w:link w:val="190"/>
    <w:qFormat/>
    <w:uiPriority w:val="0"/>
    <w:pPr>
      <w:widowControl w:val="0"/>
      <w:spacing w:line="360" w:lineRule="auto"/>
      <w:ind w:firstLine="420"/>
      <w:jc w:val="both"/>
    </w:pPr>
    <w:rPr>
      <w:rFonts w:ascii="Times New Roman"/>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16">
    <w:name w:val="Document Map"/>
    <w:basedOn w:val="1"/>
    <w:link w:val="155"/>
    <w:unhideWhenUsed/>
    <w:qFormat/>
    <w:uiPriority w:val="99"/>
    <w:rPr>
      <w:sz w:val="18"/>
      <w:szCs w:val="18"/>
    </w:rPr>
  </w:style>
  <w:style w:type="paragraph" w:styleId="17">
    <w:name w:val="annotation text"/>
    <w:basedOn w:val="1"/>
    <w:link w:val="157"/>
    <w:qFormat/>
    <w:uiPriority w:val="0"/>
    <w:pPr>
      <w:widowControl w:val="0"/>
    </w:pPr>
    <w:rPr>
      <w:rFonts w:ascii="Times New Roman"/>
      <w:kern w:val="2"/>
      <w:sz w:val="18"/>
    </w:rPr>
  </w:style>
  <w:style w:type="paragraph" w:styleId="18">
    <w:name w:val="Salutation"/>
    <w:basedOn w:val="1"/>
    <w:next w:val="1"/>
    <w:link w:val="167"/>
    <w:qFormat/>
    <w:uiPriority w:val="0"/>
    <w:pPr>
      <w:widowControl w:val="0"/>
      <w:jc w:val="both"/>
    </w:pPr>
    <w:rPr>
      <w:rFonts w:ascii="Times New Roman" w:eastAsia="黑体"/>
      <w:kern w:val="2"/>
    </w:rPr>
  </w:style>
  <w:style w:type="paragraph" w:styleId="19">
    <w:name w:val="Body Text 3"/>
    <w:basedOn w:val="1"/>
    <w:link w:val="173"/>
    <w:qFormat/>
    <w:uiPriority w:val="0"/>
    <w:pPr>
      <w:spacing w:after="120"/>
    </w:pPr>
    <w:rPr>
      <w:rFonts w:ascii="Times New Roman"/>
      <w:sz w:val="16"/>
      <w:szCs w:val="16"/>
    </w:rPr>
  </w:style>
  <w:style w:type="paragraph" w:styleId="20">
    <w:name w:val="Body Text"/>
    <w:basedOn w:val="1"/>
    <w:next w:val="21"/>
    <w:link w:val="158"/>
    <w:qFormat/>
    <w:uiPriority w:val="0"/>
    <w:pPr>
      <w:spacing w:after="120"/>
    </w:pPr>
    <w:rPr>
      <w:rFonts w:ascii="Times New Roman"/>
    </w:rPr>
  </w:style>
  <w:style w:type="paragraph" w:styleId="21">
    <w:name w:val="Plain Text"/>
    <w:basedOn w:val="1"/>
    <w:link w:val="189"/>
    <w:qFormat/>
    <w:uiPriority w:val="0"/>
    <w:pPr>
      <w:widowControl w:val="0"/>
      <w:autoSpaceDE w:val="0"/>
      <w:autoSpaceDN w:val="0"/>
      <w:adjustRightInd w:val="0"/>
      <w:jc w:val="both"/>
    </w:pPr>
    <w:rPr>
      <w:rFonts w:hAnsi="Tms Rmn"/>
      <w:sz w:val="21"/>
      <w:szCs w:val="21"/>
    </w:rPr>
  </w:style>
  <w:style w:type="paragraph" w:styleId="22">
    <w:name w:val="Body Text Indent"/>
    <w:basedOn w:val="1"/>
    <w:link w:val="161"/>
    <w:qFormat/>
    <w:uiPriority w:val="0"/>
    <w:pPr>
      <w:widowControl w:val="0"/>
      <w:autoSpaceDE w:val="0"/>
      <w:autoSpaceDN w:val="0"/>
      <w:adjustRightInd w:val="0"/>
      <w:spacing w:line="360" w:lineRule="auto"/>
      <w:ind w:firstLine="540" w:firstLineChars="180"/>
      <w:jc w:val="both"/>
    </w:pPr>
    <w:rPr>
      <w:sz w:val="30"/>
    </w:rPr>
  </w:style>
  <w:style w:type="paragraph" w:styleId="23">
    <w:name w:val="Block Text"/>
    <w:basedOn w:val="1"/>
    <w:qFormat/>
    <w:uiPriority w:val="0"/>
    <w:pPr>
      <w:widowControl w:val="0"/>
      <w:ind w:left="-540" w:leftChars="-257" w:right="-334" w:rightChars="-159" w:firstLine="540" w:firstLineChars="180"/>
      <w:jc w:val="both"/>
    </w:pPr>
    <w:rPr>
      <w:kern w:val="2"/>
      <w:sz w:val="30"/>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toc 8"/>
    <w:basedOn w:val="1"/>
    <w:next w:val="1"/>
    <w:qFormat/>
    <w:uiPriority w:val="0"/>
    <w:pPr>
      <w:ind w:left="2940" w:leftChars="1400"/>
    </w:pPr>
  </w:style>
  <w:style w:type="paragraph" w:styleId="27">
    <w:name w:val="Date"/>
    <w:basedOn w:val="1"/>
    <w:next w:val="1"/>
    <w:link w:val="179"/>
    <w:qFormat/>
    <w:uiPriority w:val="0"/>
    <w:pPr>
      <w:ind w:left="100" w:leftChars="2500"/>
    </w:pPr>
    <w:rPr>
      <w:rFonts w:ascii="Times New Roman"/>
    </w:rPr>
  </w:style>
  <w:style w:type="paragraph" w:styleId="28">
    <w:name w:val="Body Text Indent 2"/>
    <w:basedOn w:val="1"/>
    <w:link w:val="191"/>
    <w:qFormat/>
    <w:uiPriority w:val="0"/>
    <w:pPr>
      <w:widowControl w:val="0"/>
      <w:ind w:firstLine="540" w:firstLineChars="257"/>
      <w:jc w:val="both"/>
    </w:pPr>
    <w:rPr>
      <w:rFonts w:ascii="Times New Roman"/>
      <w:kern w:val="2"/>
      <w:sz w:val="21"/>
    </w:rPr>
  </w:style>
  <w:style w:type="paragraph" w:styleId="29">
    <w:name w:val="Balloon Text"/>
    <w:basedOn w:val="1"/>
    <w:link w:val="186"/>
    <w:semiHidden/>
    <w:qFormat/>
    <w:uiPriority w:val="0"/>
    <w:rPr>
      <w:rFonts w:ascii="Times New Roman"/>
      <w:sz w:val="18"/>
      <w:szCs w:val="18"/>
    </w:rPr>
  </w:style>
  <w:style w:type="paragraph" w:styleId="30">
    <w:name w:val="footer"/>
    <w:basedOn w:val="1"/>
    <w:link w:val="171"/>
    <w:qFormat/>
    <w:uiPriority w:val="99"/>
    <w:pPr>
      <w:tabs>
        <w:tab w:val="center" w:pos="4153"/>
        <w:tab w:val="right" w:pos="8306"/>
      </w:tabs>
      <w:snapToGrid w:val="0"/>
    </w:pPr>
    <w:rPr>
      <w:rFonts w:ascii="Times New Roman"/>
      <w:sz w:val="18"/>
      <w:szCs w:val="18"/>
    </w:rPr>
  </w:style>
  <w:style w:type="paragraph" w:styleId="31">
    <w:name w:val="header"/>
    <w:basedOn w:val="1"/>
    <w:link w:val="183"/>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32">
    <w:name w:val="toc 1"/>
    <w:basedOn w:val="1"/>
    <w:next w:val="1"/>
    <w:qFormat/>
    <w:uiPriority w:val="39"/>
  </w:style>
  <w:style w:type="paragraph" w:styleId="33">
    <w:name w:val="toc 4"/>
    <w:basedOn w:val="1"/>
    <w:next w:val="1"/>
    <w:qFormat/>
    <w:uiPriority w:val="0"/>
    <w:pPr>
      <w:ind w:left="1260" w:leftChars="600"/>
    </w:pPr>
  </w:style>
  <w:style w:type="paragraph" w:styleId="34">
    <w:name w:val="toc 6"/>
    <w:basedOn w:val="1"/>
    <w:next w:val="1"/>
    <w:semiHidden/>
    <w:qFormat/>
    <w:uiPriority w:val="0"/>
    <w:pPr>
      <w:ind w:left="2100" w:leftChars="1000"/>
    </w:pPr>
  </w:style>
  <w:style w:type="paragraph" w:styleId="35">
    <w:name w:val="Body Text Indent 3"/>
    <w:basedOn w:val="1"/>
    <w:link w:val="152"/>
    <w:qFormat/>
    <w:uiPriority w:val="0"/>
    <w:pPr>
      <w:widowControl w:val="0"/>
      <w:spacing w:after="120"/>
      <w:ind w:left="420" w:leftChars="200"/>
      <w:jc w:val="both"/>
    </w:pPr>
    <w:rPr>
      <w:rFonts w:ascii="Times New Roman"/>
      <w:kern w:val="2"/>
      <w:sz w:val="16"/>
      <w:szCs w:val="16"/>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3360" w:leftChars="1600"/>
    </w:pPr>
  </w:style>
  <w:style w:type="paragraph" w:styleId="38">
    <w:name w:val="Body Text 2"/>
    <w:basedOn w:val="1"/>
    <w:link w:val="200"/>
    <w:qFormat/>
    <w:uiPriority w:val="0"/>
    <w:pPr>
      <w:widowControl w:val="0"/>
      <w:autoSpaceDE w:val="0"/>
      <w:autoSpaceDN w:val="0"/>
      <w:adjustRightInd w:val="0"/>
      <w:spacing w:after="120" w:line="480" w:lineRule="auto"/>
      <w:jc w:val="both"/>
    </w:pPr>
    <w:rPr>
      <w:rFonts w:ascii="Times New Roman"/>
      <w:sz w:val="21"/>
      <w:szCs w:val="21"/>
    </w:rPr>
  </w:style>
  <w:style w:type="paragraph" w:styleId="39">
    <w:name w:val="Normal (Web)"/>
    <w:basedOn w:val="1"/>
    <w:qFormat/>
    <w:uiPriority w:val="99"/>
    <w:pPr>
      <w:spacing w:before="100" w:beforeAutospacing="1" w:after="100" w:afterAutospacing="1"/>
    </w:pPr>
  </w:style>
  <w:style w:type="paragraph" w:styleId="40">
    <w:name w:val="Title"/>
    <w:basedOn w:val="1"/>
    <w:next w:val="1"/>
    <w:link w:val="174"/>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181"/>
    <w:qFormat/>
    <w:uiPriority w:val="0"/>
    <w:rPr>
      <w:b/>
    </w:rPr>
  </w:style>
  <w:style w:type="paragraph" w:styleId="42">
    <w:name w:val="Body Text First Indent"/>
    <w:basedOn w:val="20"/>
    <w:link w:val="180"/>
    <w:qFormat/>
    <w:uiPriority w:val="0"/>
    <w:pPr>
      <w:widowControl w:val="0"/>
      <w:ind w:firstLine="420" w:firstLineChars="100"/>
      <w:jc w:val="both"/>
    </w:pPr>
    <w:rPr>
      <w:rFonts w:ascii="宋体"/>
      <w:kern w:val="2"/>
      <w:sz w:val="21"/>
    </w:rPr>
  </w:style>
  <w:style w:type="table" w:styleId="44">
    <w:name w:val="Table Grid"/>
    <w:basedOn w:val="4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style>
  <w:style w:type="character" w:styleId="48">
    <w:name w:val="FollowedHyperlink"/>
    <w:basedOn w:val="45"/>
    <w:qFormat/>
    <w:uiPriority w:val="0"/>
    <w:rPr>
      <w:color w:val="333333"/>
      <w:u w:val="none"/>
    </w:rPr>
  </w:style>
  <w:style w:type="character" w:styleId="49">
    <w:name w:val="Emphasis"/>
    <w:basedOn w:val="45"/>
    <w:qFormat/>
    <w:uiPriority w:val="0"/>
  </w:style>
  <w:style w:type="character" w:styleId="50">
    <w:name w:val="HTML Definition"/>
    <w:basedOn w:val="45"/>
    <w:unhideWhenUsed/>
    <w:qFormat/>
    <w:uiPriority w:val="99"/>
  </w:style>
  <w:style w:type="character" w:styleId="51">
    <w:name w:val="HTML Variable"/>
    <w:basedOn w:val="45"/>
    <w:unhideWhenUsed/>
    <w:qFormat/>
    <w:uiPriority w:val="99"/>
  </w:style>
  <w:style w:type="character" w:styleId="52">
    <w:name w:val="Hyperlink"/>
    <w:basedOn w:val="45"/>
    <w:qFormat/>
    <w:uiPriority w:val="99"/>
    <w:rPr>
      <w:color w:val="333333"/>
      <w:u w:val="none"/>
    </w:rPr>
  </w:style>
  <w:style w:type="character" w:styleId="53">
    <w:name w:val="HTML Code"/>
    <w:basedOn w:val="45"/>
    <w:unhideWhenUsed/>
    <w:qFormat/>
    <w:uiPriority w:val="99"/>
    <w:rPr>
      <w:rFonts w:ascii="Courier New" w:hAnsi="Courier New"/>
      <w:color w:val="0D75C4"/>
      <w:sz w:val="20"/>
    </w:rPr>
  </w:style>
  <w:style w:type="character" w:styleId="54">
    <w:name w:val="annotation reference"/>
    <w:qFormat/>
    <w:uiPriority w:val="0"/>
    <w:rPr>
      <w:sz w:val="21"/>
    </w:rPr>
  </w:style>
  <w:style w:type="character" w:styleId="55">
    <w:name w:val="HTML Cite"/>
    <w:basedOn w:val="45"/>
    <w:unhideWhenUsed/>
    <w:qFormat/>
    <w:uiPriority w:val="99"/>
  </w:style>
  <w:style w:type="character" w:customStyle="1" w:styleId="56">
    <w:name w:val="标题 1 字符"/>
    <w:link w:val="3"/>
    <w:qFormat/>
    <w:uiPriority w:val="0"/>
    <w:rPr>
      <w:rFonts w:ascii="宋体" w:hAnsi="宋体" w:eastAsia="宋体"/>
      <w:b/>
      <w:bCs/>
      <w:color w:val="000000"/>
      <w:kern w:val="44"/>
      <w:sz w:val="30"/>
      <w:szCs w:val="30"/>
      <w:lang w:bidi="ar-SA"/>
    </w:rPr>
  </w:style>
  <w:style w:type="character" w:customStyle="1" w:styleId="57">
    <w:name w:val="标题 2 字符"/>
    <w:link w:val="4"/>
    <w:qFormat/>
    <w:uiPriority w:val="0"/>
    <w:rPr>
      <w:rFonts w:ascii="宋体" w:hAnsi="宋体" w:eastAsia="宋体"/>
      <w:b/>
      <w:bCs/>
      <w:sz w:val="24"/>
      <w:szCs w:val="24"/>
      <w:lang w:eastAsia="zh-CN" w:bidi="ar-SA"/>
    </w:rPr>
  </w:style>
  <w:style w:type="character" w:customStyle="1" w:styleId="58">
    <w:name w:val="标题 3 字符"/>
    <w:link w:val="5"/>
    <w:qFormat/>
    <w:uiPriority w:val="0"/>
    <w:rPr>
      <w:rFonts w:ascii="宋体" w:hAnsi="宋体" w:eastAsia="宋体"/>
      <w:b/>
      <w:bCs/>
      <w:kern w:val="2"/>
      <w:sz w:val="24"/>
      <w:szCs w:val="24"/>
      <w:lang w:eastAsia="zh-CN" w:bidi="ar-SA"/>
    </w:rPr>
  </w:style>
  <w:style w:type="paragraph" w:customStyle="1" w:styleId="59">
    <w:name w:val="MM Topic 6"/>
    <w:basedOn w:val="8"/>
    <w:qFormat/>
    <w:uiPriority w:val="0"/>
    <w:pPr>
      <w:numPr>
        <w:numId w:val="0"/>
      </w:numPr>
      <w:tabs>
        <w:tab w:val="left" w:pos="3260"/>
        <w:tab w:val="clear" w:pos="1134"/>
      </w:tabs>
      <w:spacing w:line="317" w:lineRule="auto"/>
    </w:pPr>
    <w:rPr>
      <w:bCs w:val="0"/>
      <w:sz w:val="28"/>
      <w:szCs w:val="20"/>
    </w:rPr>
  </w:style>
  <w:style w:type="paragraph" w:customStyle="1" w:styleId="60">
    <w:name w:val="Char Char Char Char Char Char Char Char Char"/>
    <w:basedOn w:val="1"/>
    <w:qFormat/>
    <w:uiPriority w:val="0"/>
    <w:pPr>
      <w:spacing w:after="160" w:line="240" w:lineRule="exact"/>
    </w:pPr>
    <w:rPr>
      <w:rFonts w:ascii="Verdana" w:hAnsi="Verdana" w:eastAsia="仿宋_GB2312"/>
      <w:lang w:eastAsia="en-US"/>
    </w:rPr>
  </w:style>
  <w:style w:type="paragraph" w:customStyle="1" w:styleId="61">
    <w:name w:val="Char1 Char Char Char Char Char Char"/>
    <w:basedOn w:val="1"/>
    <w:qFormat/>
    <w:uiPriority w:val="0"/>
    <w:pPr>
      <w:widowControl w:val="0"/>
      <w:jc w:val="both"/>
    </w:pPr>
    <w:rPr>
      <w:rFonts w:ascii="Tahoma" w:hAnsi="Tahoma"/>
      <w:kern w:val="2"/>
    </w:rPr>
  </w:style>
  <w:style w:type="paragraph" w:customStyle="1" w:styleId="62">
    <w:name w:val="正文段落"/>
    <w:basedOn w:val="1"/>
    <w:qFormat/>
    <w:uiPriority w:val="0"/>
    <w:pPr>
      <w:widowControl w:val="0"/>
      <w:spacing w:line="300" w:lineRule="auto"/>
      <w:ind w:firstLine="510"/>
      <w:jc w:val="both"/>
    </w:pPr>
    <w:rPr>
      <w:kern w:val="2"/>
    </w:rPr>
  </w:style>
  <w:style w:type="paragraph" w:customStyle="1" w:styleId="6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64">
    <w:name w:val="正文序号 3"/>
    <w:basedOn w:val="1"/>
    <w:qFormat/>
    <w:uiPriority w:val="0"/>
    <w:pPr>
      <w:widowControl w:val="0"/>
      <w:tabs>
        <w:tab w:val="left" w:pos="1259"/>
      </w:tabs>
      <w:spacing w:before="60"/>
      <w:ind w:left="431" w:hanging="431"/>
      <w:jc w:val="both"/>
    </w:pPr>
    <w:rPr>
      <w:kern w:val="2"/>
      <w:sz w:val="21"/>
    </w:rPr>
  </w:style>
  <w:style w:type="paragraph" w:customStyle="1" w:styleId="65">
    <w:name w:val="Char Char1"/>
    <w:basedOn w:val="1"/>
    <w:next w:val="1"/>
    <w:qFormat/>
    <w:uiPriority w:val="0"/>
    <w:pPr>
      <w:widowControl w:val="0"/>
      <w:spacing w:line="240" w:lineRule="atLeast"/>
      <w:ind w:left="420" w:firstLine="420"/>
    </w:pPr>
    <w:rPr>
      <w:rFonts w:ascii="楷体_GB2312" w:eastAsia="楷体_GB2312"/>
      <w:color w:val="000000"/>
      <w:sz w:val="28"/>
    </w:rPr>
  </w:style>
  <w:style w:type="paragraph" w:customStyle="1" w:styleId="66">
    <w:name w:val="Char Char1 Char Char Char Char Char Char Char Char Char Char Char Char Char Char"/>
    <w:basedOn w:val="1"/>
    <w:qFormat/>
    <w:uiPriority w:val="0"/>
    <w:pPr>
      <w:spacing w:after="160" w:line="240" w:lineRule="exact"/>
    </w:pPr>
    <w:rPr>
      <w:rFonts w:ascii="Verdana" w:hAnsi="Verdana"/>
      <w:sz w:val="20"/>
      <w:lang w:eastAsia="en-US"/>
    </w:rPr>
  </w:style>
  <w:style w:type="paragraph" w:customStyle="1" w:styleId="67">
    <w:name w:val="SJ-标题4"/>
    <w:basedOn w:val="68"/>
    <w:qFormat/>
    <w:uiPriority w:val="0"/>
    <w:pPr>
      <w:ind w:left="1129"/>
      <w:outlineLvl w:val="3"/>
    </w:pPr>
    <w:rPr>
      <w:sz w:val="30"/>
    </w:rPr>
  </w:style>
  <w:style w:type="paragraph" w:customStyle="1" w:styleId="68">
    <w:name w:val="SJ-标题3"/>
    <w:basedOn w:val="69"/>
    <w:qFormat/>
    <w:uiPriority w:val="0"/>
    <w:pPr>
      <w:spacing w:beforeLines="50" w:afterLines="50"/>
      <w:ind w:left="420"/>
      <w:outlineLvl w:val="2"/>
    </w:pPr>
    <w:rPr>
      <w:rFonts w:ascii="仿宋_GB2312"/>
      <w:sz w:val="32"/>
      <w:szCs w:val="24"/>
    </w:rPr>
  </w:style>
  <w:style w:type="paragraph" w:customStyle="1" w:styleId="69">
    <w:name w:val="SJ-标题2"/>
    <w:basedOn w:val="70"/>
    <w:qFormat/>
    <w:uiPriority w:val="0"/>
    <w:pPr>
      <w:ind w:left="846"/>
      <w:outlineLvl w:val="1"/>
    </w:pPr>
    <w:rPr>
      <w:sz w:val="36"/>
    </w:rPr>
  </w:style>
  <w:style w:type="paragraph" w:customStyle="1" w:styleId="70">
    <w:name w:val="SJ-标题1"/>
    <w:basedOn w:val="3"/>
    <w:next w:val="1"/>
    <w:qFormat/>
    <w:uiPriority w:val="0"/>
    <w:pPr>
      <w:widowControl w:val="0"/>
      <w:spacing w:beforeLines="100" w:afterLines="100"/>
      <w:ind w:left="420"/>
      <w:jc w:val="both"/>
    </w:pPr>
    <w:rPr>
      <w:rFonts w:ascii="Calibri" w:hAnsi="Calibri" w:eastAsia="仿宋_GB2312"/>
      <w:b w:val="0"/>
      <w:bCs w:val="0"/>
      <w:sz w:val="44"/>
      <w:szCs w:val="44"/>
    </w:rPr>
  </w:style>
  <w:style w:type="paragraph" w:customStyle="1" w:styleId="71">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72">
    <w:name w:val="Style Style4 + First line:  2 ch Before:  0.5 line After:  0.5 li..."/>
    <w:basedOn w:val="1"/>
    <w:qFormat/>
    <w:uiPriority w:val="0"/>
    <w:pPr>
      <w:widowControl w:val="0"/>
      <w:spacing w:beforeLines="50" w:afterLines="50" w:line="276" w:lineRule="auto"/>
      <w:ind w:firstLine="480"/>
      <w:jc w:val="both"/>
    </w:pPr>
    <w:rPr>
      <w:rFonts w:ascii="Arial" w:hAnsi="Arial"/>
      <w:kern w:val="2"/>
    </w:rPr>
  </w:style>
  <w:style w:type="paragraph" w:customStyle="1" w:styleId="73">
    <w:name w:val="Style8"/>
    <w:basedOn w:val="1"/>
    <w:qFormat/>
    <w:uiPriority w:val="0"/>
    <w:pPr>
      <w:widowControl w:val="0"/>
      <w:tabs>
        <w:tab w:val="left" w:pos="1304"/>
      </w:tabs>
      <w:spacing w:beforeLines="50" w:afterLines="50" w:line="276" w:lineRule="auto"/>
      <w:ind w:left="1304" w:hanging="397"/>
      <w:jc w:val="both"/>
    </w:pPr>
    <w:rPr>
      <w:rFonts w:ascii="Arial" w:hAnsi="Arial"/>
      <w:kern w:val="2"/>
    </w:rPr>
  </w:style>
  <w:style w:type="paragraph" w:customStyle="1" w:styleId="74">
    <w:name w:val="正文格式"/>
    <w:basedOn w:val="1"/>
    <w:qFormat/>
    <w:uiPriority w:val="0"/>
    <w:pPr>
      <w:adjustRightInd w:val="0"/>
      <w:snapToGrid w:val="0"/>
      <w:spacing w:beforeLines="25" w:line="360" w:lineRule="auto"/>
      <w:ind w:firstLine="480"/>
      <w:jc w:val="both"/>
      <w:textAlignment w:val="baseline"/>
    </w:pPr>
    <w:rPr>
      <w:color w:val="000000"/>
    </w:rPr>
  </w:style>
  <w:style w:type="paragraph" w:customStyle="1" w:styleId="75">
    <w:name w:val="正文首行缩进两字符"/>
    <w:basedOn w:val="1"/>
    <w:qFormat/>
    <w:uiPriority w:val="0"/>
    <w:pPr>
      <w:widowControl w:val="0"/>
      <w:spacing w:line="360" w:lineRule="auto"/>
      <w:ind w:firstLine="200"/>
      <w:jc w:val="both"/>
    </w:pPr>
    <w:rPr>
      <w:kern w:val="2"/>
      <w:sz w:val="21"/>
    </w:rPr>
  </w:style>
  <w:style w:type="paragraph" w:customStyle="1" w:styleId="76">
    <w:name w:val="Char Char Char Char"/>
    <w:basedOn w:val="1"/>
    <w:next w:val="1"/>
    <w:qFormat/>
    <w:uiPriority w:val="0"/>
    <w:pPr>
      <w:widowControl w:val="0"/>
      <w:spacing w:line="240" w:lineRule="atLeast"/>
      <w:ind w:left="420" w:firstLine="420"/>
    </w:pPr>
    <w:rPr>
      <w:sz w:val="21"/>
      <w:szCs w:val="21"/>
    </w:rPr>
  </w:style>
  <w:style w:type="paragraph" w:customStyle="1" w:styleId="77">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项目符号：一级"/>
    <w:basedOn w:val="74"/>
    <w:next w:val="74"/>
    <w:qFormat/>
    <w:uiPriority w:val="0"/>
    <w:pPr>
      <w:tabs>
        <w:tab w:val="left" w:pos="700"/>
      </w:tabs>
      <w:spacing w:beforeLines="0"/>
      <w:ind w:left="630" w:hanging="290" w:firstLineChars="0"/>
    </w:pPr>
  </w:style>
  <w:style w:type="paragraph" w:customStyle="1" w:styleId="8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1">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82">
    <w:name w:val="MM Title"/>
    <w:basedOn w:val="1"/>
    <w:qFormat/>
    <w:uiPriority w:val="0"/>
    <w:pPr>
      <w:widowControl w:val="0"/>
      <w:spacing w:before="240" w:after="60"/>
      <w:jc w:val="center"/>
      <w:outlineLvl w:val="0"/>
    </w:pPr>
    <w:rPr>
      <w:rFonts w:ascii="Arial" w:hAnsi="Arial"/>
      <w:b/>
      <w:kern w:val="2"/>
      <w:sz w:val="32"/>
    </w:rPr>
  </w:style>
  <w:style w:type="paragraph" w:customStyle="1" w:styleId="83">
    <w:name w:val="样式 正文缩进 + (中文) 仿宋_GB2312 小四 Char"/>
    <w:basedOn w:val="14"/>
    <w:qFormat/>
    <w:uiPriority w:val="0"/>
    <w:pPr>
      <w:ind w:firstLine="480"/>
    </w:pPr>
    <w:rPr>
      <w:rFonts w:ascii="宋体"/>
      <w:sz w:val="24"/>
      <w:szCs w:val="20"/>
    </w:rPr>
  </w:style>
  <w:style w:type="paragraph" w:customStyle="1" w:styleId="84">
    <w:name w:val="列出段落1"/>
    <w:basedOn w:val="1"/>
    <w:link w:val="185"/>
    <w:qFormat/>
    <w:uiPriority w:val="0"/>
    <w:pPr>
      <w:ind w:firstLine="420"/>
    </w:pPr>
    <w:rPr>
      <w:rFonts w:ascii="Times New Roman"/>
    </w:rPr>
  </w:style>
  <w:style w:type="paragraph" w:customStyle="1" w:styleId="85">
    <w:name w:val="MM Topic 2"/>
    <w:basedOn w:val="4"/>
    <w:qFormat/>
    <w:uiPriority w:val="0"/>
    <w:pPr>
      <w:tabs>
        <w:tab w:val="left" w:pos="992"/>
        <w:tab w:val="clear" w:pos="426"/>
      </w:tabs>
    </w:pPr>
    <w:rPr>
      <w:rFonts w:ascii="Arial"/>
      <w:bCs w:val="0"/>
      <w:color w:val="000000"/>
      <w:kern w:val="2"/>
      <w:szCs w:val="20"/>
    </w:rPr>
  </w:style>
  <w:style w:type="paragraph" w:customStyle="1" w:styleId="86">
    <w:name w:val="默认段落字体 Para Char Char"/>
    <w:basedOn w:val="1"/>
    <w:qFormat/>
    <w:uiPriority w:val="0"/>
    <w:pPr>
      <w:widowControl w:val="0"/>
      <w:jc w:val="both"/>
    </w:pPr>
    <w:rPr>
      <w:kern w:val="2"/>
      <w:sz w:val="21"/>
    </w:rPr>
  </w:style>
  <w:style w:type="paragraph" w:customStyle="1" w:styleId="87">
    <w:name w:val="MM Topic 3"/>
    <w:basedOn w:val="5"/>
    <w:qFormat/>
    <w:uiPriority w:val="0"/>
    <w:pPr>
      <w:tabs>
        <w:tab w:val="left" w:pos="1418"/>
        <w:tab w:val="clear" w:pos="567"/>
      </w:tabs>
    </w:pPr>
    <w:rPr>
      <w:rFonts w:ascii="Times New Roman" w:hAnsi="Times New Roman"/>
      <w:bCs w:val="0"/>
      <w:szCs w:val="20"/>
    </w:rPr>
  </w:style>
  <w:style w:type="paragraph" w:customStyle="1" w:styleId="88">
    <w:name w:val="MM Topic 8"/>
    <w:basedOn w:val="10"/>
    <w:qFormat/>
    <w:uiPriority w:val="0"/>
    <w:pPr>
      <w:tabs>
        <w:tab w:val="left" w:pos="4394"/>
      </w:tabs>
    </w:pPr>
  </w:style>
  <w:style w:type="paragraph" w:customStyle="1" w:styleId="89">
    <w:name w:val="文章正文"/>
    <w:basedOn w:val="1"/>
    <w:link w:val="170"/>
    <w:qFormat/>
    <w:uiPriority w:val="0"/>
    <w:pPr>
      <w:widowControl w:val="0"/>
      <w:spacing w:line="360" w:lineRule="auto"/>
      <w:ind w:firstLine="420"/>
      <w:jc w:val="both"/>
    </w:pPr>
    <w:rPr>
      <w:rFonts w:ascii="Times New Roman"/>
      <w:kern w:val="2"/>
    </w:rPr>
  </w:style>
  <w:style w:type="paragraph" w:customStyle="1" w:styleId="90">
    <w:name w:val="默认段落字体 Para Char Char Char Char"/>
    <w:basedOn w:val="1"/>
    <w:qFormat/>
    <w:uiPriority w:val="0"/>
    <w:pPr>
      <w:widowControl w:val="0"/>
      <w:jc w:val="both"/>
    </w:pPr>
    <w:rPr>
      <w:kern w:val="2"/>
      <w:sz w:val="21"/>
    </w:rPr>
  </w:style>
  <w:style w:type="paragraph" w:customStyle="1" w:styleId="91">
    <w:name w:val="标题样式"/>
    <w:basedOn w:val="1"/>
    <w:qFormat/>
    <w:uiPriority w:val="0"/>
    <w:pPr>
      <w:widowControl w:val="0"/>
      <w:tabs>
        <w:tab w:val="left" w:pos="420"/>
      </w:tabs>
      <w:spacing w:line="360" w:lineRule="auto"/>
      <w:jc w:val="both"/>
    </w:pPr>
    <w:rPr>
      <w:kern w:val="2"/>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
    <w:name w:val="标准正文"/>
    <w:basedOn w:val="1"/>
    <w:qFormat/>
    <w:uiPriority w:val="0"/>
    <w:pPr>
      <w:widowControl w:val="0"/>
      <w:adjustRightInd w:val="0"/>
      <w:spacing w:before="120" w:line="400" w:lineRule="atLeast"/>
      <w:ind w:firstLine="576"/>
      <w:textAlignment w:val="baseline"/>
    </w:pPr>
    <w:rPr>
      <w:rFonts w:eastAsia="楷体_GB2312"/>
      <w:sz w:val="28"/>
    </w:rPr>
  </w:style>
  <w:style w:type="paragraph" w:customStyle="1" w:styleId="95">
    <w:name w:val="样式 标题 1 + 宋体 居中 段前: 17 磅 段后: 16.5 磅"/>
    <w:basedOn w:val="3"/>
    <w:qFormat/>
    <w:uiPriority w:val="0"/>
    <w:pPr>
      <w:pageBreakBefore/>
      <w:numPr>
        <w:numId w:val="0"/>
      </w:numPr>
      <w:tabs>
        <w:tab w:val="left" w:pos="840"/>
      </w:tabs>
      <w:ind w:left="840" w:hanging="420"/>
    </w:pPr>
    <w:rPr>
      <w:szCs w:val="20"/>
    </w:rPr>
  </w:style>
  <w:style w:type="paragraph" w:customStyle="1" w:styleId="96">
    <w:name w:val="博士论文正文"/>
    <w:basedOn w:val="1"/>
    <w:qFormat/>
    <w:uiPriority w:val="0"/>
    <w:pPr>
      <w:widowControl w:val="0"/>
      <w:spacing w:line="400" w:lineRule="exact"/>
      <w:ind w:firstLine="200"/>
      <w:jc w:val="both"/>
    </w:pPr>
    <w:rPr>
      <w:rFonts w:ascii="Times New Roman"/>
      <w:kern w:val="2"/>
    </w:rPr>
  </w:style>
  <w:style w:type="paragraph" w:customStyle="1" w:styleId="97">
    <w:name w:val="默认段落字体 Para Char Char Char Char Char Char Char"/>
    <w:basedOn w:val="1"/>
    <w:qFormat/>
    <w:uiPriority w:val="0"/>
    <w:pPr>
      <w:widowControl w:val="0"/>
      <w:jc w:val="both"/>
    </w:pPr>
    <w:rPr>
      <w:rFonts w:ascii="Tahoma" w:hAnsi="Tahoma"/>
      <w:kern w:val="2"/>
    </w:rPr>
  </w:style>
  <w:style w:type="paragraph" w:customStyle="1" w:styleId="98">
    <w:name w:val="Char11"/>
    <w:basedOn w:val="1"/>
    <w:next w:val="1"/>
    <w:qFormat/>
    <w:uiPriority w:val="0"/>
    <w:pPr>
      <w:widowControl w:val="0"/>
      <w:spacing w:line="240" w:lineRule="atLeast"/>
      <w:ind w:left="420" w:firstLine="420"/>
    </w:pPr>
    <w:rPr>
      <w:sz w:val="21"/>
      <w:szCs w:val="21"/>
    </w:rPr>
  </w:style>
  <w:style w:type="paragraph" w:customStyle="1" w:styleId="99">
    <w:name w:val="SJ-标题5"/>
    <w:basedOn w:val="67"/>
    <w:qFormat/>
    <w:uiPriority w:val="0"/>
    <w:pPr>
      <w:ind w:left="420"/>
      <w:outlineLvl w:val="4"/>
    </w:pPr>
    <w:rPr>
      <w:sz w:val="28"/>
    </w:rPr>
  </w:style>
  <w:style w:type="paragraph" w:customStyle="1" w:styleId="100">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01">
    <w:name w:val="样式 标题 2proj2proj21proj22proj23proj24proj25proj26proj27p...1"/>
    <w:basedOn w:val="4"/>
    <w:qFormat/>
    <w:uiPriority w:val="0"/>
    <w:pPr>
      <w:keepNext w:val="0"/>
      <w:keepLines w:val="0"/>
      <w:adjustRightInd w:val="0"/>
      <w:spacing w:line="360" w:lineRule="exact"/>
      <w:jc w:val="center"/>
      <w:textAlignment w:val="baseline"/>
      <w:outlineLvl w:val="9"/>
    </w:pPr>
    <w:rPr>
      <w:rFonts w:ascii="Times New Roman" w:hAnsi="Times New Roman"/>
      <w:b w:val="0"/>
      <w:bCs w:val="0"/>
      <w:kern w:val="2"/>
      <w:szCs w:val="20"/>
    </w:rPr>
  </w:style>
  <w:style w:type="paragraph" w:customStyle="1" w:styleId="102">
    <w:name w:val="正文序号 1"/>
    <w:basedOn w:val="1"/>
    <w:qFormat/>
    <w:uiPriority w:val="0"/>
    <w:pPr>
      <w:widowControl w:val="0"/>
      <w:tabs>
        <w:tab w:val="left" w:pos="839"/>
      </w:tabs>
      <w:spacing w:before="60"/>
      <w:ind w:left="431" w:hanging="431"/>
      <w:jc w:val="both"/>
    </w:pPr>
    <w:rPr>
      <w:kern w:val="2"/>
      <w:sz w:val="21"/>
    </w:rPr>
  </w:style>
  <w:style w:type="paragraph" w:customStyle="1" w:styleId="103">
    <w:name w:val="Char"/>
    <w:basedOn w:val="1"/>
    <w:next w:val="1"/>
    <w:qFormat/>
    <w:uiPriority w:val="0"/>
    <w:pPr>
      <w:widowControl w:val="0"/>
      <w:spacing w:line="240" w:lineRule="atLeast"/>
      <w:ind w:left="420" w:firstLine="420"/>
    </w:pPr>
    <w:rPr>
      <w:sz w:val="21"/>
      <w:szCs w:val="21"/>
    </w:rPr>
  </w:style>
  <w:style w:type="paragraph" w:customStyle="1" w:styleId="104">
    <w:name w:val="gb_master正文"/>
    <w:basedOn w:val="1"/>
    <w:qFormat/>
    <w:uiPriority w:val="0"/>
    <w:pPr>
      <w:widowControl w:val="0"/>
      <w:ind w:firstLine="200"/>
      <w:jc w:val="both"/>
    </w:pPr>
    <w:rPr>
      <w:kern w:val="2"/>
      <w:sz w:val="21"/>
    </w:rPr>
  </w:style>
  <w:style w:type="paragraph" w:customStyle="1" w:styleId="105">
    <w:name w:val="Char2"/>
    <w:basedOn w:val="1"/>
    <w:next w:val="1"/>
    <w:qFormat/>
    <w:uiPriority w:val="0"/>
    <w:pPr>
      <w:widowControl w:val="0"/>
      <w:spacing w:line="240" w:lineRule="atLeast"/>
      <w:ind w:left="420" w:firstLine="420"/>
    </w:pPr>
    <w:rPr>
      <w:kern w:val="2"/>
    </w:rPr>
  </w:style>
  <w:style w:type="paragraph" w:customStyle="1" w:styleId="106">
    <w:name w:val="大纲正文"/>
    <w:basedOn w:val="1"/>
    <w:qFormat/>
    <w:uiPriority w:val="0"/>
    <w:pPr>
      <w:widowControl w:val="0"/>
      <w:spacing w:line="360" w:lineRule="auto"/>
      <w:ind w:firstLine="480"/>
      <w:jc w:val="both"/>
    </w:pPr>
    <w:rPr>
      <w:kern w:val="2"/>
    </w:rPr>
  </w:style>
  <w:style w:type="paragraph" w:customStyle="1" w:styleId="107">
    <w:name w:val="MM Topic 5"/>
    <w:basedOn w:val="7"/>
    <w:qFormat/>
    <w:uiPriority w:val="0"/>
    <w:pPr>
      <w:numPr>
        <w:numId w:val="0"/>
      </w:numPr>
      <w:tabs>
        <w:tab w:val="left" w:pos="2551"/>
        <w:tab w:val="clear" w:pos="992"/>
      </w:tabs>
      <w:autoSpaceDE/>
      <w:autoSpaceDN/>
      <w:adjustRightInd/>
      <w:spacing w:line="372" w:lineRule="auto"/>
    </w:pPr>
    <w:rPr>
      <w:bCs w:val="0"/>
      <w:kern w:val="2"/>
      <w:szCs w:val="20"/>
    </w:rPr>
  </w:style>
  <w:style w:type="paragraph" w:customStyle="1" w:styleId="108">
    <w:name w:val="标题 2 + 楷体_GB2312"/>
    <w:basedOn w:val="1"/>
    <w:qFormat/>
    <w:uiPriority w:val="0"/>
  </w:style>
  <w:style w:type="paragraph" w:customStyle="1" w:styleId="109">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10">
    <w:name w:val="文字"/>
    <w:basedOn w:val="1"/>
    <w:qFormat/>
    <w:uiPriority w:val="0"/>
    <w:pPr>
      <w:widowControl w:val="0"/>
      <w:tabs>
        <w:tab w:val="left" w:pos="8520"/>
      </w:tabs>
      <w:spacing w:line="312" w:lineRule="auto"/>
      <w:ind w:right="-210" w:firstLine="556"/>
      <w:jc w:val="both"/>
    </w:pPr>
    <w:rPr>
      <w:rFonts w:ascii="楷体_GB2312" w:eastAsia="楷体_GB2312"/>
      <w:kern w:val="2"/>
      <w:sz w:val="28"/>
    </w:rPr>
  </w:style>
  <w:style w:type="paragraph" w:customStyle="1" w:styleId="111">
    <w:name w:val="我的正文"/>
    <w:basedOn w:val="1"/>
    <w:qFormat/>
    <w:uiPriority w:val="0"/>
    <w:pPr>
      <w:widowControl w:val="0"/>
      <w:spacing w:line="360" w:lineRule="auto"/>
      <w:ind w:firstLine="420"/>
      <w:jc w:val="both"/>
    </w:pPr>
    <w:rPr>
      <w:kern w:val="2"/>
      <w:sz w:val="21"/>
    </w:rPr>
  </w:style>
  <w:style w:type="paragraph" w:customStyle="1" w:styleId="112">
    <w:name w:val="Char1 Char Char Char"/>
    <w:basedOn w:val="1"/>
    <w:qFormat/>
    <w:uiPriority w:val="0"/>
    <w:pPr>
      <w:widowControl w:val="0"/>
      <w:jc w:val="both"/>
    </w:pPr>
    <w:rPr>
      <w:kern w:val="2"/>
      <w:sz w:val="21"/>
    </w:rPr>
  </w:style>
  <w:style w:type="paragraph" w:customStyle="1" w:styleId="113">
    <w:name w:val="CD正文"/>
    <w:basedOn w:val="1"/>
    <w:link w:val="149"/>
    <w:qFormat/>
    <w:uiPriority w:val="0"/>
    <w:pPr>
      <w:widowControl w:val="0"/>
      <w:spacing w:line="360" w:lineRule="auto"/>
      <w:ind w:firstLine="493"/>
      <w:jc w:val="both"/>
    </w:pPr>
    <w:rPr>
      <w:rFonts w:ascii="Times New Roman"/>
      <w:kern w:val="2"/>
      <w:sz w:val="30"/>
      <w:szCs w:val="28"/>
    </w:rPr>
  </w:style>
  <w:style w:type="paragraph" w:customStyle="1" w:styleId="114">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15">
    <w:name w:val="m正文"/>
    <w:basedOn w:val="1"/>
    <w:qFormat/>
    <w:uiPriority w:val="0"/>
    <w:pPr>
      <w:spacing w:line="560" w:lineRule="exact"/>
      <w:ind w:firstLine="200"/>
    </w:pPr>
    <w:rPr>
      <w:rFonts w:ascii="Times New Roman" w:eastAsia="仿宋" w:cs="仿宋"/>
      <w:sz w:val="30"/>
      <w:szCs w:val="32"/>
    </w:rPr>
  </w:style>
  <w:style w:type="paragraph" w:customStyle="1" w:styleId="116">
    <w:name w:val="正文 首行缩进:  2 字符 Char Char"/>
    <w:basedOn w:val="1"/>
    <w:link w:val="195"/>
    <w:qFormat/>
    <w:uiPriority w:val="0"/>
    <w:pPr>
      <w:widowControl w:val="0"/>
      <w:spacing w:line="360" w:lineRule="auto"/>
      <w:ind w:firstLine="480"/>
      <w:jc w:val="both"/>
    </w:pPr>
    <w:rPr>
      <w:kern w:val="2"/>
    </w:rPr>
  </w:style>
  <w:style w:type="paragraph" w:customStyle="1" w:styleId="117">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18">
    <w:name w:val="1 Char"/>
    <w:basedOn w:val="1"/>
    <w:qFormat/>
    <w:uiPriority w:val="0"/>
    <w:pPr>
      <w:spacing w:after="160" w:line="240" w:lineRule="exact"/>
    </w:pPr>
    <w:rPr>
      <w:rFonts w:ascii="Tahoma" w:hAnsi="Tahoma" w:eastAsia="Times New Roman"/>
      <w:lang w:eastAsia="en-US"/>
    </w:rPr>
  </w:style>
  <w:style w:type="paragraph" w:customStyle="1" w:styleId="119">
    <w:name w:val="p0"/>
    <w:basedOn w:val="1"/>
    <w:qFormat/>
    <w:uiPriority w:val="0"/>
    <w:pPr>
      <w:jc w:val="both"/>
    </w:pPr>
    <w:rPr>
      <w:sz w:val="21"/>
    </w:rPr>
  </w:style>
  <w:style w:type="paragraph" w:customStyle="1" w:styleId="120">
    <w:name w:val="正文序号 4"/>
    <w:basedOn w:val="1"/>
    <w:qFormat/>
    <w:uiPriority w:val="0"/>
    <w:pPr>
      <w:widowControl w:val="0"/>
      <w:tabs>
        <w:tab w:val="left" w:pos="1469"/>
      </w:tabs>
      <w:spacing w:before="60"/>
      <w:ind w:left="431" w:hanging="431"/>
      <w:jc w:val="both"/>
    </w:pPr>
    <w:rPr>
      <w:kern w:val="2"/>
      <w:sz w:val="21"/>
    </w:rPr>
  </w:style>
  <w:style w:type="paragraph" w:customStyle="1" w:styleId="121">
    <w:name w:val="表格文字"/>
    <w:basedOn w:val="1"/>
    <w:qFormat/>
    <w:uiPriority w:val="0"/>
    <w:pPr>
      <w:widowControl w:val="0"/>
      <w:spacing w:beforeLines="25" w:afterLines="25"/>
      <w:jc w:val="both"/>
    </w:pPr>
    <w:rPr>
      <w:rFonts w:ascii="Times New (W1)" w:hAnsi="Times New (W1)"/>
      <w:spacing w:val="10"/>
      <w:kern w:val="2"/>
      <w:sz w:val="21"/>
    </w:rPr>
  </w:style>
  <w:style w:type="paragraph" w:customStyle="1" w:styleId="122">
    <w:name w:val="Char Char Char Char Char Char Char"/>
    <w:basedOn w:val="1"/>
    <w:qFormat/>
    <w:uiPriority w:val="0"/>
    <w:pPr>
      <w:snapToGrid w:val="0"/>
      <w:spacing w:line="240" w:lineRule="exact"/>
    </w:pPr>
    <w:rPr>
      <w:rFonts w:ascii="Verdana" w:hAnsi="Verdana"/>
      <w:sz w:val="20"/>
      <w:lang w:eastAsia="en-US"/>
    </w:rPr>
  </w:style>
  <w:style w:type="paragraph" w:customStyle="1" w:styleId="123">
    <w:name w:val="Char1"/>
    <w:basedOn w:val="1"/>
    <w:next w:val="1"/>
    <w:qFormat/>
    <w:uiPriority w:val="0"/>
    <w:pPr>
      <w:widowControl w:val="0"/>
      <w:spacing w:line="240" w:lineRule="atLeast"/>
      <w:ind w:left="420" w:firstLine="420"/>
    </w:pPr>
    <w:rPr>
      <w:sz w:val="21"/>
      <w:szCs w:val="21"/>
    </w:rPr>
  </w:style>
  <w:style w:type="paragraph" w:customStyle="1" w:styleId="124">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25">
    <w:name w:val="标书（正文）"/>
    <w:basedOn w:val="1"/>
    <w:link w:val="176"/>
    <w:qFormat/>
    <w:uiPriority w:val="0"/>
    <w:pPr>
      <w:widowControl w:val="0"/>
      <w:spacing w:line="360" w:lineRule="auto"/>
      <w:ind w:firstLine="560"/>
      <w:jc w:val="both"/>
    </w:pPr>
    <w:rPr>
      <w:b/>
      <w:kern w:val="10"/>
      <w:sz w:val="21"/>
    </w:rPr>
  </w:style>
  <w:style w:type="paragraph" w:customStyle="1" w:styleId="126">
    <w:name w:val="Char3"/>
    <w:basedOn w:val="1"/>
    <w:qFormat/>
    <w:uiPriority w:val="0"/>
    <w:pPr>
      <w:spacing w:after="160" w:line="240" w:lineRule="exact"/>
    </w:pPr>
    <w:rPr>
      <w:rFonts w:ascii="Tahoma" w:hAnsi="Tahoma"/>
      <w:kern w:val="2"/>
      <w:lang w:eastAsia="en-US"/>
    </w:rPr>
  </w:style>
  <w:style w:type="paragraph" w:customStyle="1" w:styleId="127">
    <w:name w:val="正文序号 2"/>
    <w:basedOn w:val="1"/>
    <w:qFormat/>
    <w:uiPriority w:val="0"/>
    <w:pPr>
      <w:widowControl w:val="0"/>
      <w:tabs>
        <w:tab w:val="left" w:pos="1049"/>
      </w:tabs>
      <w:spacing w:before="60"/>
      <w:ind w:left="431" w:hanging="431"/>
      <w:jc w:val="both"/>
    </w:pPr>
    <w:rPr>
      <w:kern w:val="2"/>
      <w:sz w:val="21"/>
    </w:rPr>
  </w:style>
  <w:style w:type="paragraph" w:customStyle="1" w:styleId="128">
    <w:name w:val="样式 右侧:  1 字符1"/>
    <w:basedOn w:val="1"/>
    <w:qFormat/>
    <w:uiPriority w:val="0"/>
    <w:pPr>
      <w:widowControl w:val="0"/>
      <w:ind w:left="240" w:leftChars="100" w:right="100" w:rightChars="100"/>
      <w:jc w:val="both"/>
    </w:pPr>
    <w:rPr>
      <w:rFonts w:eastAsia="仿宋_GB2312"/>
      <w:kern w:val="2"/>
      <w:sz w:val="28"/>
    </w:rPr>
  </w:style>
  <w:style w:type="paragraph" w:customStyle="1" w:styleId="129">
    <w:name w:val="条目正文"/>
    <w:basedOn w:val="1"/>
    <w:qFormat/>
    <w:uiPriority w:val="0"/>
    <w:pPr>
      <w:widowControl w:val="0"/>
      <w:tabs>
        <w:tab w:val="left" w:pos="425"/>
        <w:tab w:val="left" w:pos="1050"/>
      </w:tabs>
      <w:spacing w:after="120" w:line="360" w:lineRule="auto"/>
      <w:ind w:left="1050" w:hanging="450"/>
      <w:jc w:val="both"/>
    </w:pPr>
    <w:rPr>
      <w:rFonts w:hAnsi="Arial" w:cs="Arial"/>
    </w:rPr>
  </w:style>
  <w:style w:type="paragraph" w:customStyle="1" w:styleId="130">
    <w:name w:val="MM Topic 9"/>
    <w:basedOn w:val="11"/>
    <w:qFormat/>
    <w:uiPriority w:val="0"/>
    <w:pPr>
      <w:tabs>
        <w:tab w:val="left" w:pos="5102"/>
      </w:tabs>
    </w:pPr>
  </w:style>
  <w:style w:type="paragraph" w:customStyle="1" w:styleId="131">
    <w:name w:val="样式 仿宋_GB2312 小四 左侧:  0.63 厘米"/>
    <w:basedOn w:val="1"/>
    <w:qFormat/>
    <w:uiPriority w:val="0"/>
    <w:pPr>
      <w:widowControl w:val="0"/>
      <w:spacing w:before="120" w:after="120" w:line="360" w:lineRule="auto"/>
      <w:ind w:left="357" w:firstLine="200"/>
      <w:jc w:val="both"/>
    </w:pPr>
    <w:rPr>
      <w:rFonts w:ascii="仿宋_GB2312" w:hAnsi="仿宋_GB2312" w:eastAsia="仿宋_GB2312"/>
      <w:kern w:val="2"/>
    </w:rPr>
  </w:style>
  <w:style w:type="paragraph" w:customStyle="1" w:styleId="132">
    <w:name w:val="xl26"/>
    <w:basedOn w:val="1"/>
    <w:qFormat/>
    <w:uiPriority w:val="0"/>
    <w:pPr>
      <w:pBdr>
        <w:top w:val="single" w:color="auto" w:sz="4" w:space="0"/>
        <w:left w:val="single" w:color="auto" w:sz="4" w:space="0"/>
        <w:right w:val="single" w:color="auto" w:sz="4" w:space="0"/>
      </w:pBdr>
      <w:spacing w:before="100" w:beforeAutospacing="1" w:after="100" w:afterAutospacing="1"/>
    </w:pPr>
    <w:rPr>
      <w:sz w:val="22"/>
      <w:szCs w:val="22"/>
    </w:rPr>
  </w:style>
  <w:style w:type="paragraph" w:customStyle="1" w:styleId="133">
    <w:name w:val="样式2"/>
    <w:basedOn w:val="1"/>
    <w:qFormat/>
    <w:uiPriority w:val="0"/>
    <w:pPr>
      <w:widowControl w:val="0"/>
      <w:adjustRightInd w:val="0"/>
      <w:spacing w:line="410" w:lineRule="atLeast"/>
      <w:jc w:val="both"/>
      <w:textAlignment w:val="baseline"/>
    </w:pPr>
  </w:style>
  <w:style w:type="paragraph" w:customStyle="1" w:styleId="134">
    <w:name w:val="列出段落2"/>
    <w:basedOn w:val="1"/>
    <w:qFormat/>
    <w:uiPriority w:val="0"/>
    <w:pPr>
      <w:widowControl w:val="0"/>
      <w:ind w:firstLine="420"/>
      <w:jc w:val="both"/>
    </w:pPr>
    <w:rPr>
      <w:kern w:val="2"/>
      <w:sz w:val="21"/>
    </w:rPr>
  </w:style>
  <w:style w:type="paragraph" w:customStyle="1" w:styleId="135">
    <w:name w:val="论文正文"/>
    <w:basedOn w:val="1"/>
    <w:qFormat/>
    <w:uiPriority w:val="0"/>
    <w:pPr>
      <w:widowControl w:val="0"/>
      <w:spacing w:line="300" w:lineRule="auto"/>
      <w:ind w:firstLine="200"/>
      <w:jc w:val="both"/>
    </w:pPr>
    <w:rPr>
      <w:kern w:val="2"/>
    </w:rPr>
  </w:style>
  <w:style w:type="paragraph" w:customStyle="1" w:styleId="136">
    <w:name w:val="列出段落111"/>
    <w:basedOn w:val="1"/>
    <w:qFormat/>
    <w:uiPriority w:val="99"/>
    <w:pPr>
      <w:ind w:firstLine="420"/>
    </w:pPr>
  </w:style>
  <w:style w:type="paragraph" w:customStyle="1" w:styleId="137">
    <w:name w:val="p4"/>
    <w:basedOn w:val="1"/>
    <w:qFormat/>
    <w:uiPriority w:val="0"/>
    <w:pPr>
      <w:spacing w:before="100" w:beforeAutospacing="1" w:after="100" w:afterAutospacing="1" w:line="360" w:lineRule="auto"/>
      <w:ind w:firstLine="360"/>
    </w:pPr>
  </w:style>
  <w:style w:type="paragraph" w:customStyle="1" w:styleId="138">
    <w:name w:val="样式 首行缩进:  2 字符"/>
    <w:basedOn w:val="1"/>
    <w:qFormat/>
    <w:uiPriority w:val="0"/>
    <w:pPr>
      <w:widowControl w:val="0"/>
      <w:ind w:firstLine="420"/>
      <w:jc w:val="both"/>
    </w:pPr>
    <w:rPr>
      <w:kern w:val="2"/>
      <w:sz w:val="21"/>
    </w:rPr>
  </w:style>
  <w:style w:type="paragraph" w:customStyle="1" w:styleId="139">
    <w:name w:val="文章正文 Char Char1 Char"/>
    <w:basedOn w:val="1"/>
    <w:qFormat/>
    <w:uiPriority w:val="0"/>
    <w:pPr>
      <w:widowControl w:val="0"/>
      <w:spacing w:line="360" w:lineRule="auto"/>
      <w:ind w:firstLine="420"/>
      <w:jc w:val="both"/>
    </w:pPr>
    <w:rPr>
      <w:kern w:val="2"/>
    </w:rPr>
  </w:style>
  <w:style w:type="paragraph" w:customStyle="1" w:styleId="140">
    <w:name w:val="Char1 Char Char Char1"/>
    <w:basedOn w:val="1"/>
    <w:next w:val="1"/>
    <w:qFormat/>
    <w:uiPriority w:val="0"/>
    <w:pPr>
      <w:widowControl w:val="0"/>
      <w:spacing w:line="240" w:lineRule="atLeast"/>
      <w:ind w:left="420" w:firstLine="420"/>
    </w:pPr>
    <w:rPr>
      <w:sz w:val="21"/>
    </w:rPr>
  </w:style>
  <w:style w:type="paragraph" w:customStyle="1" w:styleId="141">
    <w:name w:val="Char2 Char Char Char"/>
    <w:basedOn w:val="1"/>
    <w:qFormat/>
    <w:uiPriority w:val="0"/>
    <w:pPr>
      <w:widowControl w:val="0"/>
      <w:jc w:val="both"/>
    </w:pPr>
    <w:rPr>
      <w:rFonts w:ascii="仿宋_GB2312"/>
      <w:b/>
      <w:kern w:val="2"/>
      <w:sz w:val="30"/>
    </w:rPr>
  </w:style>
  <w:style w:type="paragraph" w:customStyle="1" w:styleId="142">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3">
    <w:name w:val="文章正文 Char Char1"/>
    <w:basedOn w:val="1"/>
    <w:qFormat/>
    <w:uiPriority w:val="0"/>
    <w:pPr>
      <w:widowControl w:val="0"/>
      <w:spacing w:line="360" w:lineRule="auto"/>
      <w:ind w:firstLine="420"/>
      <w:jc w:val="both"/>
    </w:pPr>
    <w:rPr>
      <w:kern w:val="2"/>
    </w:rPr>
  </w:style>
  <w:style w:type="paragraph" w:customStyle="1" w:styleId="14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5">
    <w:name w:val="列出段落211"/>
    <w:basedOn w:val="1"/>
    <w:qFormat/>
    <w:uiPriority w:val="99"/>
    <w:pPr>
      <w:ind w:firstLine="420"/>
    </w:pPr>
  </w:style>
  <w:style w:type="paragraph" w:customStyle="1" w:styleId="146">
    <w:name w:val="Char2 Char Char Char Char Char Char"/>
    <w:basedOn w:val="1"/>
    <w:qFormat/>
    <w:uiPriority w:val="0"/>
    <w:pPr>
      <w:widowControl w:val="0"/>
      <w:jc w:val="both"/>
    </w:pPr>
    <w:rPr>
      <w:rFonts w:ascii="仿宋_GB2312"/>
      <w:b/>
      <w:kern w:val="2"/>
      <w:sz w:val="30"/>
    </w:rPr>
  </w:style>
  <w:style w:type="paragraph" w:customStyle="1" w:styleId="147">
    <w:name w:val="标题 5 + 首行缩进:  2 字符"/>
    <w:basedOn w:val="7"/>
    <w:next w:val="22"/>
    <w:qFormat/>
    <w:uiPriority w:val="0"/>
    <w:pPr>
      <w:keepNext w:val="0"/>
      <w:keepLines w:val="0"/>
      <w:numPr>
        <w:numId w:val="0"/>
      </w:numPr>
      <w:tabs>
        <w:tab w:val="left" w:pos="1560"/>
        <w:tab w:val="clear" w:pos="992"/>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m标题2"/>
    <w:qFormat/>
    <w:uiPriority w:val="0"/>
    <w:pPr>
      <w:numPr>
        <w:ilvl w:val="1"/>
        <w:numId w:val="4"/>
      </w:numPr>
      <w:spacing w:line="560" w:lineRule="exact"/>
      <w:jc w:val="both"/>
    </w:pPr>
    <w:rPr>
      <w:rFonts w:ascii="仿宋" w:hAnsi="仿宋" w:eastAsia="黑体" w:cs="仿宋"/>
      <w:bCs/>
      <w:kern w:val="2"/>
      <w:sz w:val="32"/>
      <w:szCs w:val="24"/>
      <w:lang w:val="en-US" w:eastAsia="zh-CN" w:bidi="ar-SA"/>
    </w:rPr>
  </w:style>
  <w:style w:type="character" w:customStyle="1" w:styleId="149">
    <w:name w:val="CD正文 Char"/>
    <w:link w:val="113"/>
    <w:qFormat/>
    <w:uiPriority w:val="0"/>
    <w:rPr>
      <w:kern w:val="2"/>
      <w:sz w:val="30"/>
      <w:szCs w:val="28"/>
    </w:rPr>
  </w:style>
  <w:style w:type="character" w:customStyle="1" w:styleId="150">
    <w:name w:val="font21"/>
    <w:basedOn w:val="45"/>
    <w:qFormat/>
    <w:uiPriority w:val="0"/>
    <w:rPr>
      <w:rFonts w:hint="eastAsia" w:ascii="宋体" w:hAnsi="宋体" w:eastAsia="宋体" w:cs="宋体"/>
      <w:color w:val="000000"/>
      <w:sz w:val="28"/>
      <w:szCs w:val="28"/>
      <w:u w:val="none"/>
    </w:rPr>
  </w:style>
  <w:style w:type="character" w:customStyle="1" w:styleId="151">
    <w:name w:val="标题 8 字符"/>
    <w:link w:val="10"/>
    <w:qFormat/>
    <w:uiPriority w:val="0"/>
    <w:rPr>
      <w:rFonts w:ascii="Arial" w:hAnsi="Arial" w:eastAsia="黑体"/>
      <w:kern w:val="2"/>
      <w:sz w:val="24"/>
    </w:rPr>
  </w:style>
  <w:style w:type="character" w:customStyle="1" w:styleId="152">
    <w:name w:val="正文文本缩进 3 字符"/>
    <w:link w:val="35"/>
    <w:qFormat/>
    <w:uiPriority w:val="0"/>
    <w:rPr>
      <w:kern w:val="2"/>
      <w:sz w:val="16"/>
      <w:szCs w:val="16"/>
    </w:rPr>
  </w:style>
  <w:style w:type="character" w:customStyle="1" w:styleId="153">
    <w:name w:val="H4 Char"/>
    <w:qFormat/>
    <w:uiPriority w:val="0"/>
    <w:rPr>
      <w:rFonts w:ascii="Arial" w:hAnsi="Arial" w:eastAsia="宋体"/>
      <w:b/>
      <w:kern w:val="2"/>
      <w:sz w:val="28"/>
      <w:lang w:val="en-US" w:eastAsia="zh-CN"/>
    </w:rPr>
  </w:style>
  <w:style w:type="character" w:customStyle="1" w:styleId="154">
    <w:name w:val="Char Char25"/>
    <w:qFormat/>
    <w:uiPriority w:val="0"/>
    <w:rPr>
      <w:rFonts w:ascii="宋体" w:hAnsi="宋体" w:eastAsia="宋体"/>
      <w:b/>
      <w:bCs/>
      <w:iCs/>
      <w:sz w:val="28"/>
      <w:szCs w:val="28"/>
      <w:lang w:eastAsia="zh-CN" w:bidi="ar-SA"/>
    </w:rPr>
  </w:style>
  <w:style w:type="character" w:customStyle="1" w:styleId="155">
    <w:name w:val="文档结构图 字符"/>
    <w:link w:val="16"/>
    <w:semiHidden/>
    <w:qFormat/>
    <w:uiPriority w:val="99"/>
    <w:rPr>
      <w:rFonts w:ascii="宋体"/>
      <w:sz w:val="18"/>
      <w:szCs w:val="18"/>
    </w:rPr>
  </w:style>
  <w:style w:type="character" w:customStyle="1" w:styleId="156">
    <w:name w:val="font61"/>
    <w:basedOn w:val="45"/>
    <w:qFormat/>
    <w:uiPriority w:val="0"/>
    <w:rPr>
      <w:rFonts w:hint="eastAsia" w:ascii="宋体" w:hAnsi="宋体" w:eastAsia="宋体" w:cs="宋体"/>
      <w:color w:val="000000"/>
      <w:sz w:val="20"/>
      <w:szCs w:val="20"/>
      <w:u w:val="none"/>
    </w:rPr>
  </w:style>
  <w:style w:type="character" w:customStyle="1" w:styleId="157">
    <w:name w:val="批注文字 字符"/>
    <w:link w:val="17"/>
    <w:qFormat/>
    <w:uiPriority w:val="0"/>
    <w:rPr>
      <w:kern w:val="2"/>
      <w:sz w:val="18"/>
    </w:rPr>
  </w:style>
  <w:style w:type="character" w:customStyle="1" w:styleId="158">
    <w:name w:val="正文文本 字符"/>
    <w:link w:val="20"/>
    <w:qFormat/>
    <w:uiPriority w:val="0"/>
    <w:rPr>
      <w:sz w:val="24"/>
      <w:szCs w:val="24"/>
    </w:rPr>
  </w:style>
  <w:style w:type="character" w:customStyle="1" w:styleId="159">
    <w:name w:val="label"/>
    <w:basedOn w:val="45"/>
    <w:qFormat/>
    <w:uiPriority w:val="0"/>
    <w:rPr>
      <w:color w:val="555555"/>
    </w:rPr>
  </w:style>
  <w:style w:type="character" w:customStyle="1" w:styleId="160">
    <w:name w:val="modifier"/>
    <w:basedOn w:val="45"/>
    <w:qFormat/>
    <w:uiPriority w:val="0"/>
    <w:rPr>
      <w:color w:val="FF0000"/>
    </w:rPr>
  </w:style>
  <w:style w:type="character" w:customStyle="1" w:styleId="161">
    <w:name w:val="正文文本缩进 字符"/>
    <w:link w:val="22"/>
    <w:qFormat/>
    <w:uiPriority w:val="0"/>
    <w:rPr>
      <w:rFonts w:ascii="宋体"/>
      <w:sz w:val="30"/>
      <w:szCs w:val="24"/>
    </w:rPr>
  </w:style>
  <w:style w:type="character" w:customStyle="1" w:styleId="162">
    <w:name w:val="magic-list1"/>
    <w:qFormat/>
    <w:uiPriority w:val="0"/>
    <w:rPr>
      <w:rFonts w:hint="default" w:ascii="ˎ̥" w:hAnsi="ˎ̥"/>
      <w:color w:val="000000"/>
      <w:sz w:val="20"/>
      <w:u w:val="none"/>
    </w:rPr>
  </w:style>
  <w:style w:type="character" w:customStyle="1" w:styleId="163">
    <w:name w:val="标题 4 字符"/>
    <w:link w:val="6"/>
    <w:qFormat/>
    <w:uiPriority w:val="0"/>
    <w:rPr>
      <w:rFonts w:ascii="宋体" w:hAnsi="宋体" w:eastAsia="宋体"/>
      <w:b/>
      <w:bCs/>
      <w:sz w:val="28"/>
      <w:szCs w:val="28"/>
      <w:lang w:bidi="ar-SA"/>
    </w:rPr>
  </w:style>
  <w:style w:type="character" w:customStyle="1" w:styleId="164">
    <w:name w:val="font11"/>
    <w:basedOn w:val="45"/>
    <w:qFormat/>
    <w:uiPriority w:val="0"/>
    <w:rPr>
      <w:rFonts w:hint="eastAsia" w:ascii="宋体" w:hAnsi="宋体" w:eastAsia="宋体" w:cs="宋体"/>
      <w:color w:val="000000"/>
      <w:sz w:val="28"/>
      <w:szCs w:val="28"/>
      <w:u w:val="none"/>
    </w:rPr>
  </w:style>
  <w:style w:type="character" w:customStyle="1" w:styleId="165">
    <w:name w:val="font121"/>
    <w:basedOn w:val="45"/>
    <w:qFormat/>
    <w:uiPriority w:val="0"/>
    <w:rPr>
      <w:rFonts w:hint="eastAsia" w:ascii="宋体" w:hAnsi="宋体" w:eastAsia="宋体" w:cs="宋体"/>
      <w:b/>
      <w:color w:val="000000"/>
      <w:sz w:val="20"/>
      <w:szCs w:val="20"/>
      <w:u w:val="none"/>
    </w:rPr>
  </w:style>
  <w:style w:type="character" w:customStyle="1" w:styleId="166">
    <w:name w:val="font31"/>
    <w:basedOn w:val="45"/>
    <w:qFormat/>
    <w:uiPriority w:val="0"/>
    <w:rPr>
      <w:rFonts w:hint="eastAsia" w:ascii="宋体" w:hAnsi="宋体" w:eastAsia="宋体" w:cs="宋体"/>
      <w:color w:val="000000"/>
      <w:sz w:val="20"/>
      <w:szCs w:val="20"/>
      <w:u w:val="none"/>
    </w:rPr>
  </w:style>
  <w:style w:type="character" w:customStyle="1" w:styleId="167">
    <w:name w:val="称呼 字符"/>
    <w:link w:val="18"/>
    <w:qFormat/>
    <w:uiPriority w:val="0"/>
    <w:rPr>
      <w:rFonts w:eastAsia="黑体"/>
      <w:kern w:val="2"/>
      <w:sz w:val="24"/>
    </w:rPr>
  </w:style>
  <w:style w:type="character" w:customStyle="1" w:styleId="168">
    <w:name w:val="font01"/>
    <w:basedOn w:val="45"/>
    <w:qFormat/>
    <w:uiPriority w:val="0"/>
    <w:rPr>
      <w:rFonts w:hint="default" w:ascii="Tahoma" w:hAnsi="Tahoma" w:eastAsia="Tahoma" w:cs="Tahoma"/>
      <w:color w:val="000000"/>
      <w:sz w:val="20"/>
      <w:szCs w:val="20"/>
      <w:u w:val="none"/>
    </w:rPr>
  </w:style>
  <w:style w:type="character" w:customStyle="1" w:styleId="169">
    <w:name w:val="keyword"/>
    <w:basedOn w:val="45"/>
    <w:qFormat/>
    <w:uiPriority w:val="0"/>
  </w:style>
  <w:style w:type="character" w:customStyle="1" w:styleId="170">
    <w:name w:val="文章正文 Char"/>
    <w:link w:val="89"/>
    <w:qFormat/>
    <w:uiPriority w:val="0"/>
    <w:rPr>
      <w:kern w:val="2"/>
      <w:sz w:val="24"/>
      <w:szCs w:val="24"/>
    </w:rPr>
  </w:style>
  <w:style w:type="character" w:customStyle="1" w:styleId="171">
    <w:name w:val="页脚 字符"/>
    <w:link w:val="30"/>
    <w:qFormat/>
    <w:uiPriority w:val="99"/>
    <w:rPr>
      <w:sz w:val="18"/>
      <w:szCs w:val="18"/>
    </w:rPr>
  </w:style>
  <w:style w:type="character" w:customStyle="1" w:styleId="172">
    <w:name w:val="Char Char4"/>
    <w:qFormat/>
    <w:uiPriority w:val="0"/>
    <w:rPr>
      <w:rFonts w:ascii="宋体" w:hAnsi="Courier New" w:eastAsia="宋体"/>
      <w:kern w:val="2"/>
      <w:sz w:val="21"/>
      <w:lang w:val="en-US" w:eastAsia="zh-CN"/>
    </w:rPr>
  </w:style>
  <w:style w:type="character" w:customStyle="1" w:styleId="173">
    <w:name w:val="正文文本 3 字符"/>
    <w:link w:val="19"/>
    <w:qFormat/>
    <w:uiPriority w:val="0"/>
    <w:rPr>
      <w:sz w:val="16"/>
      <w:szCs w:val="16"/>
    </w:rPr>
  </w:style>
  <w:style w:type="character" w:customStyle="1" w:styleId="174">
    <w:name w:val="标题 字符"/>
    <w:link w:val="40"/>
    <w:qFormat/>
    <w:uiPriority w:val="0"/>
    <w:rPr>
      <w:rFonts w:ascii="Cambria" w:hAnsi="Cambria"/>
      <w:b/>
      <w:bCs/>
      <w:kern w:val="2"/>
      <w:sz w:val="32"/>
      <w:szCs w:val="32"/>
    </w:rPr>
  </w:style>
  <w:style w:type="character" w:customStyle="1" w:styleId="175">
    <w:name w:val="标题 7 字符"/>
    <w:link w:val="9"/>
    <w:qFormat/>
    <w:uiPriority w:val="0"/>
    <w:rPr>
      <w:rFonts w:ascii="Arial Narrow" w:hAnsi="Arial Narrow"/>
      <w:b/>
      <w:lang w:eastAsia="en-US"/>
    </w:rPr>
  </w:style>
  <w:style w:type="character" w:customStyle="1" w:styleId="176">
    <w:name w:val="标书（正文） Char"/>
    <w:link w:val="125"/>
    <w:qFormat/>
    <w:uiPriority w:val="0"/>
    <w:rPr>
      <w:rFonts w:ascii="宋体" w:hAnsi="宋体"/>
      <w:b/>
      <w:kern w:val="10"/>
      <w:sz w:val="21"/>
    </w:rPr>
  </w:style>
  <w:style w:type="character" w:customStyle="1" w:styleId="177">
    <w:name w:val="font91"/>
    <w:basedOn w:val="45"/>
    <w:qFormat/>
    <w:uiPriority w:val="0"/>
    <w:rPr>
      <w:rFonts w:hint="eastAsia" w:ascii="宋体" w:hAnsi="宋体" w:eastAsia="宋体" w:cs="宋体"/>
      <w:color w:val="000000"/>
      <w:sz w:val="20"/>
      <w:szCs w:val="20"/>
      <w:u w:val="none"/>
    </w:rPr>
  </w:style>
  <w:style w:type="character" w:customStyle="1" w:styleId="178">
    <w:name w:val="WW8Num9z0"/>
    <w:qFormat/>
    <w:uiPriority w:val="0"/>
    <w:rPr>
      <w:rFonts w:ascii="Wingdings" w:hAnsi="Wingdings"/>
    </w:rPr>
  </w:style>
  <w:style w:type="character" w:customStyle="1" w:styleId="179">
    <w:name w:val="日期 字符"/>
    <w:link w:val="27"/>
    <w:qFormat/>
    <w:uiPriority w:val="0"/>
    <w:rPr>
      <w:sz w:val="24"/>
      <w:szCs w:val="24"/>
    </w:rPr>
  </w:style>
  <w:style w:type="character" w:customStyle="1" w:styleId="180">
    <w:name w:val="正文文本首行缩进 字符"/>
    <w:link w:val="42"/>
    <w:qFormat/>
    <w:uiPriority w:val="0"/>
    <w:rPr>
      <w:rFonts w:ascii="宋体" w:hAnsi="宋体"/>
      <w:kern w:val="2"/>
      <w:sz w:val="21"/>
      <w:szCs w:val="24"/>
    </w:rPr>
  </w:style>
  <w:style w:type="character" w:customStyle="1" w:styleId="181">
    <w:name w:val="批注主题 字符"/>
    <w:link w:val="41"/>
    <w:qFormat/>
    <w:uiPriority w:val="0"/>
    <w:rPr>
      <w:b/>
      <w:kern w:val="2"/>
      <w:sz w:val="18"/>
    </w:rPr>
  </w:style>
  <w:style w:type="character" w:customStyle="1" w:styleId="182">
    <w:name w:val="small"/>
    <w:basedOn w:val="45"/>
    <w:qFormat/>
    <w:uiPriority w:val="0"/>
  </w:style>
  <w:style w:type="character" w:customStyle="1" w:styleId="183">
    <w:name w:val="页眉 字符"/>
    <w:link w:val="31"/>
    <w:qFormat/>
    <w:uiPriority w:val="0"/>
    <w:rPr>
      <w:sz w:val="18"/>
      <w:szCs w:val="18"/>
    </w:rPr>
  </w:style>
  <w:style w:type="character" w:customStyle="1" w:styleId="184">
    <w:name w:val="msoins"/>
    <w:basedOn w:val="45"/>
    <w:qFormat/>
    <w:uiPriority w:val="0"/>
  </w:style>
  <w:style w:type="character" w:customStyle="1" w:styleId="185">
    <w:name w:val="列出段落 Char"/>
    <w:link w:val="84"/>
    <w:qFormat/>
    <w:uiPriority w:val="0"/>
    <w:rPr>
      <w:sz w:val="24"/>
      <w:szCs w:val="24"/>
    </w:rPr>
  </w:style>
  <w:style w:type="character" w:customStyle="1" w:styleId="186">
    <w:name w:val="批注框文本 字符"/>
    <w:link w:val="29"/>
    <w:semiHidden/>
    <w:qFormat/>
    <w:uiPriority w:val="0"/>
    <w:rPr>
      <w:sz w:val="18"/>
      <w:szCs w:val="18"/>
    </w:rPr>
  </w:style>
  <w:style w:type="character" w:customStyle="1" w:styleId="187">
    <w:name w:val="font41"/>
    <w:basedOn w:val="45"/>
    <w:qFormat/>
    <w:uiPriority w:val="0"/>
    <w:rPr>
      <w:rFonts w:hint="eastAsia" w:ascii="宋体" w:hAnsi="宋体" w:eastAsia="宋体" w:cs="宋体"/>
      <w:b/>
      <w:color w:val="000000"/>
      <w:sz w:val="20"/>
      <w:szCs w:val="20"/>
      <w:u w:val="none"/>
    </w:rPr>
  </w:style>
  <w:style w:type="character" w:customStyle="1" w:styleId="188">
    <w:name w:val="grame"/>
    <w:basedOn w:val="45"/>
    <w:qFormat/>
    <w:uiPriority w:val="0"/>
  </w:style>
  <w:style w:type="character" w:customStyle="1" w:styleId="189">
    <w:name w:val="纯文本 字符"/>
    <w:link w:val="21"/>
    <w:qFormat/>
    <w:uiPriority w:val="0"/>
    <w:rPr>
      <w:rFonts w:ascii="宋体" w:hAnsi="Tms Rmn" w:cs="宋体"/>
      <w:sz w:val="21"/>
      <w:szCs w:val="21"/>
    </w:rPr>
  </w:style>
  <w:style w:type="character" w:customStyle="1" w:styleId="190">
    <w:name w:val="正文缩进 字符"/>
    <w:link w:val="14"/>
    <w:qFormat/>
    <w:uiPriority w:val="0"/>
    <w:rPr>
      <w:kern w:val="2"/>
      <w:sz w:val="21"/>
      <w:szCs w:val="24"/>
    </w:rPr>
  </w:style>
  <w:style w:type="character" w:customStyle="1" w:styleId="191">
    <w:name w:val="正文文本缩进 2 字符"/>
    <w:link w:val="28"/>
    <w:qFormat/>
    <w:uiPriority w:val="0"/>
    <w:rPr>
      <w:kern w:val="2"/>
      <w:sz w:val="21"/>
      <w:szCs w:val="24"/>
    </w:rPr>
  </w:style>
  <w:style w:type="character" w:customStyle="1" w:styleId="192">
    <w:name w:val="标题 9 字符"/>
    <w:link w:val="11"/>
    <w:qFormat/>
    <w:uiPriority w:val="0"/>
    <w:rPr>
      <w:rFonts w:ascii="Arial" w:hAnsi="Arial" w:eastAsia="黑体"/>
      <w:kern w:val="2"/>
      <w:sz w:val="21"/>
    </w:rPr>
  </w:style>
  <w:style w:type="character" w:customStyle="1" w:styleId="193">
    <w:name w:val="fontblank12"/>
    <w:basedOn w:val="45"/>
    <w:qFormat/>
    <w:uiPriority w:val="0"/>
  </w:style>
  <w:style w:type="character" w:customStyle="1" w:styleId="194">
    <w:name w:val="textnormchn1"/>
    <w:basedOn w:val="45"/>
    <w:qFormat/>
    <w:uiPriority w:val="0"/>
  </w:style>
  <w:style w:type="character" w:customStyle="1" w:styleId="195">
    <w:name w:val="正文 首行缩进:  2 字符 Char Char Char"/>
    <w:link w:val="116"/>
    <w:qFormat/>
    <w:uiPriority w:val="0"/>
    <w:rPr>
      <w:kern w:val="2"/>
      <w:szCs w:val="20"/>
    </w:rPr>
  </w:style>
  <w:style w:type="character" w:customStyle="1" w:styleId="196">
    <w:name w:val="font71"/>
    <w:basedOn w:val="45"/>
    <w:qFormat/>
    <w:uiPriority w:val="0"/>
    <w:rPr>
      <w:rFonts w:hint="default" w:ascii="Times New Roman" w:hAnsi="Times New Roman" w:cs="Times New Roman"/>
      <w:color w:val="000000"/>
      <w:sz w:val="20"/>
      <w:szCs w:val="20"/>
      <w:u w:val="none"/>
    </w:rPr>
  </w:style>
  <w:style w:type="character" w:customStyle="1" w:styleId="197">
    <w:name w:val="标题 5 字符"/>
    <w:link w:val="7"/>
    <w:qFormat/>
    <w:uiPriority w:val="0"/>
    <w:rPr>
      <w:rFonts w:eastAsia="宋体"/>
      <w:b/>
      <w:bCs/>
      <w:sz w:val="28"/>
      <w:szCs w:val="28"/>
      <w:lang w:bidi="ar-SA"/>
    </w:rPr>
  </w:style>
  <w:style w:type="character" w:customStyle="1" w:styleId="198">
    <w:name w:val="标题 6 字符"/>
    <w:link w:val="8"/>
    <w:qFormat/>
    <w:uiPriority w:val="0"/>
    <w:rPr>
      <w:rFonts w:ascii="Arial" w:hAnsi="Arial" w:eastAsia="黑体"/>
      <w:b/>
      <w:bCs/>
      <w:kern w:val="2"/>
      <w:sz w:val="24"/>
      <w:szCs w:val="24"/>
      <w:lang w:bidi="ar-SA"/>
    </w:rPr>
  </w:style>
  <w:style w:type="character" w:customStyle="1" w:styleId="199">
    <w:name w:val="font81"/>
    <w:basedOn w:val="45"/>
    <w:qFormat/>
    <w:uiPriority w:val="0"/>
    <w:rPr>
      <w:rFonts w:hint="default" w:ascii="Times New Roman" w:hAnsi="Times New Roman" w:cs="Times New Roman"/>
      <w:b/>
      <w:color w:val="000000"/>
      <w:sz w:val="20"/>
      <w:szCs w:val="20"/>
      <w:u w:val="none"/>
    </w:rPr>
  </w:style>
  <w:style w:type="character" w:customStyle="1" w:styleId="200">
    <w:name w:val="正文文本 2 字符"/>
    <w:link w:val="38"/>
    <w:qFormat/>
    <w:uiPriority w:val="0"/>
    <w:rPr>
      <w:sz w:val="21"/>
      <w:szCs w:val="21"/>
    </w:rPr>
  </w:style>
  <w:style w:type="paragraph" w:customStyle="1" w:styleId="20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202">
    <w:name w:val="彩色列表 - 强调文字颜色 11"/>
    <w:basedOn w:val="1"/>
    <w:qFormat/>
    <w:uiPriority w:val="0"/>
    <w:pPr>
      <w:ind w:firstLine="420"/>
    </w:pPr>
    <w:rPr>
      <w:rFonts w:ascii="Calibri" w:hAnsi="Calibri"/>
      <w:kern w:val="2"/>
      <w:sz w:val="21"/>
    </w:rPr>
  </w:style>
  <w:style w:type="paragraph" w:customStyle="1" w:styleId="203">
    <w:name w:val="正文2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04">
    <w:name w:val="列出段落21"/>
    <w:basedOn w:val="1"/>
    <w:qFormat/>
    <w:uiPriority w:val="99"/>
    <w:pPr>
      <w:ind w:firstLine="420"/>
    </w:pPr>
  </w:style>
  <w:style w:type="paragraph" w:customStyle="1" w:styleId="205">
    <w:name w:val="列出段落11"/>
    <w:basedOn w:val="1"/>
    <w:qFormat/>
    <w:uiPriority w:val="99"/>
    <w:pPr>
      <w:ind w:firstLine="420"/>
    </w:pPr>
  </w:style>
  <w:style w:type="paragraph" w:customStyle="1" w:styleId="206">
    <w:name w:val="_Style 3"/>
    <w:basedOn w:val="1"/>
    <w:qFormat/>
    <w:uiPriority w:val="34"/>
    <w:pPr>
      <w:ind w:firstLine="420"/>
    </w:pPr>
    <w:rPr>
      <w:rFonts w:ascii="Calibri"/>
      <w:kern w:val="2"/>
      <w:sz w:val="21"/>
    </w:rPr>
  </w:style>
  <w:style w:type="paragraph" w:customStyle="1" w:styleId="207">
    <w:name w:val="_Style 48"/>
    <w:basedOn w:val="1"/>
    <w:qFormat/>
    <w:uiPriority w:val="0"/>
    <w:pPr>
      <w:ind w:firstLine="420"/>
    </w:pPr>
    <w:rPr>
      <w:rFonts w:ascii="Calibri"/>
      <w:kern w:val="2"/>
      <w:sz w:val="21"/>
    </w:rPr>
  </w:style>
  <w:style w:type="paragraph" w:customStyle="1" w:styleId="208">
    <w:name w:val="列出段落3"/>
    <w:basedOn w:val="1"/>
    <w:qFormat/>
    <w:uiPriority w:val="34"/>
    <w:pPr>
      <w:ind w:firstLine="420"/>
    </w:pPr>
  </w:style>
  <w:style w:type="paragraph" w:customStyle="1" w:styleId="209">
    <w:name w:val="修订1"/>
    <w:hidden/>
    <w:semiHidden/>
    <w:qFormat/>
    <w:uiPriority w:val="99"/>
    <w:rPr>
      <w:rFonts w:ascii="宋体" w:hAnsi="Times New Roman" w:eastAsia="宋体" w:cs="Times New Roman"/>
      <w:sz w:val="34"/>
      <w:lang w:val="en-US" w:eastAsia="zh-CN" w:bidi="ar-SA"/>
    </w:rPr>
  </w:style>
  <w:style w:type="paragraph" w:styleId="210">
    <w:name w:val="List Paragraph"/>
    <w:basedOn w:val="1"/>
    <w:unhideWhenUsed/>
    <w:qFormat/>
    <w:uiPriority w:val="34"/>
    <w:pPr>
      <w:ind w:firstLine="420"/>
    </w:pPr>
  </w:style>
  <w:style w:type="paragraph" w:customStyle="1" w:styleId="211">
    <w:name w:val="WPSOffice手动目录 1"/>
    <w:qFormat/>
    <w:uiPriority w:val="0"/>
    <w:rPr>
      <w:rFonts w:ascii="Times New Roman" w:hAnsi="Times New Roman" w:eastAsia="宋体" w:cs="Times New Roman"/>
      <w:lang w:val="en-US" w:eastAsia="zh-CN" w:bidi="ar-SA"/>
    </w:rPr>
  </w:style>
  <w:style w:type="paragraph" w:customStyle="1" w:styleId="212">
    <w:name w:val="Table Paragraph"/>
    <w:basedOn w:val="1"/>
    <w:qFormat/>
    <w:uiPriority w:val="1"/>
    <w:pPr>
      <w:widowControl w:val="0"/>
      <w:ind w:firstLine="0" w:firstLineChars="0"/>
      <w:jc w:val="both"/>
    </w:pPr>
    <w:rPr>
      <w:rFonts w:ascii="Times New Roman" w:hAnsi="Times New Roman" w:cs="Times New Roman"/>
      <w:kern w:val="2"/>
      <w:sz w:val="21"/>
    </w:rPr>
  </w:style>
  <w:style w:type="paragraph" w:customStyle="1" w:styleId="213">
    <w:name w:val="List Paragraph1"/>
    <w:basedOn w:val="1"/>
    <w:qFormat/>
    <w:uiPriority w:val="99"/>
    <w:pPr>
      <w:ind w:firstLine="420"/>
    </w:pPr>
  </w:style>
  <w:style w:type="character" w:customStyle="1" w:styleId="214">
    <w:name w:val="img"/>
    <w:basedOn w:val="45"/>
    <w:qFormat/>
    <w:uiPriority w:val="0"/>
  </w:style>
  <w:style w:type="character" w:customStyle="1" w:styleId="215">
    <w:name w:val="img1"/>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3714</Words>
  <Characters>21173</Characters>
  <Lines>176</Lines>
  <Paragraphs>49</Paragraphs>
  <TotalTime>2</TotalTime>
  <ScaleCrop>false</ScaleCrop>
  <LinksUpToDate>false</LinksUpToDate>
  <CharactersWithSpaces>24838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2021-04-21T06:58:00Z</dcterms:created>
  <dc:creator>微软</dc:creator>
  <cp:lastModifiedBy>Spoiler Junkie</cp:lastModifiedBy>
  <cp:lastPrinted>2020-03-25T01:50:00Z</cp:lastPrinted>
  <dcterms:modified xsi:type="dcterms:W3CDTF">2021-06-10T03:43:22Z</dcterms:modified>
  <dc:title>微软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287EECC6D7904EF5BCF9B6ECE0498DEB</vt:lpwstr>
  </property>
</Properties>
</file>